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D12B" w14:textId="77777777" w:rsidR="00C14546" w:rsidRDefault="00A77502" w:rsidP="00897411">
      <w:pPr>
        <w:tabs>
          <w:tab w:val="left" w:pos="1284"/>
        </w:tabs>
        <w:spacing w:after="0" w:line="240" w:lineRule="auto"/>
        <w:rPr>
          <w:rFonts w:ascii="Book Antiqua" w:eastAsia="Times New Roman" w:hAnsi="Book Antiqua" w:cs="Times New Roman"/>
          <w:noProof/>
          <w:sz w:val="22"/>
          <w:szCs w:val="22"/>
        </w:rPr>
      </w:pPr>
      <w:bookmarkStart w:id="0" w:name="_GoBack"/>
      <w:bookmarkEnd w:id="0"/>
      <w:r w:rsidRPr="00897411">
        <w:rPr>
          <w:rFonts w:ascii="Book Antiqua" w:eastAsia="Times New Roman" w:hAnsi="Book Antiqua" w:cs="Times New Roman"/>
          <w:noProof/>
          <w:sz w:val="22"/>
          <w:szCs w:val="22"/>
        </w:rPr>
        <w:drawing>
          <wp:anchor distT="0" distB="0" distL="114300" distR="114300" simplePos="0" relativeHeight="251661312" behindDoc="1" locked="0" layoutInCell="1" allowOverlap="1" wp14:anchorId="7E44C15B" wp14:editId="2EBABB2B">
            <wp:simplePos x="0" y="0"/>
            <wp:positionH relativeFrom="column">
              <wp:posOffset>1449070</wp:posOffset>
            </wp:positionH>
            <wp:positionV relativeFrom="paragraph">
              <wp:posOffset>50165</wp:posOffset>
            </wp:positionV>
            <wp:extent cx="1111250" cy="988695"/>
            <wp:effectExtent l="0" t="0" r="0" b="1905"/>
            <wp:wrapNone/>
            <wp:docPr id="1" name="Picture 1" descr="page1image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411">
        <w:rPr>
          <w:rFonts w:ascii="Book Antiqua" w:hAnsi="Book Antiqua"/>
          <w:noProof/>
          <w:sz w:val="22"/>
          <w:szCs w:val="22"/>
        </w:rPr>
        <w:drawing>
          <wp:anchor distT="0" distB="0" distL="114300" distR="114300" simplePos="0" relativeHeight="251660288" behindDoc="1" locked="0" layoutInCell="1" allowOverlap="1" wp14:anchorId="4CAB24E1" wp14:editId="5CB2B7C9">
            <wp:simplePos x="0" y="0"/>
            <wp:positionH relativeFrom="column">
              <wp:posOffset>2658745</wp:posOffset>
            </wp:positionH>
            <wp:positionV relativeFrom="paragraph">
              <wp:posOffset>86995</wp:posOffset>
            </wp:positionV>
            <wp:extent cx="1364615" cy="994410"/>
            <wp:effectExtent l="0" t="0" r="6985" b="0"/>
            <wp:wrapNone/>
            <wp:docPr id="210463756" name="Picture 21046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4615" cy="994410"/>
                    </a:xfrm>
                    <a:prstGeom prst="rect">
                      <a:avLst/>
                    </a:prstGeom>
                  </pic:spPr>
                </pic:pic>
              </a:graphicData>
            </a:graphic>
            <wp14:sizeRelH relativeFrom="page">
              <wp14:pctWidth>0</wp14:pctWidth>
            </wp14:sizeRelH>
            <wp14:sizeRelV relativeFrom="page">
              <wp14:pctHeight>0</wp14:pctHeight>
            </wp14:sizeRelV>
          </wp:anchor>
        </w:drawing>
      </w:r>
      <w:r w:rsidRPr="00897411">
        <w:rPr>
          <w:rFonts w:ascii="Book Antiqua" w:eastAsia="Times New Roman" w:hAnsi="Book Antiqua" w:cs="Times New Roman"/>
          <w:noProof/>
          <w:sz w:val="22"/>
          <w:szCs w:val="22"/>
        </w:rPr>
        <w:drawing>
          <wp:anchor distT="0" distB="0" distL="114300" distR="114300" simplePos="0" relativeHeight="251659264" behindDoc="1" locked="0" layoutInCell="1" allowOverlap="1" wp14:anchorId="4F417103" wp14:editId="1C995583">
            <wp:simplePos x="0" y="0"/>
            <wp:positionH relativeFrom="column">
              <wp:posOffset>4101465</wp:posOffset>
            </wp:positionH>
            <wp:positionV relativeFrom="paragraph">
              <wp:posOffset>114385</wp:posOffset>
            </wp:positionV>
            <wp:extent cx="2584193" cy="579120"/>
            <wp:effectExtent l="0" t="0" r="6985" b="0"/>
            <wp:wrapNone/>
            <wp:docPr id="3" name="Picture 3" descr="page1image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3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193"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noProof/>
          <w:sz w:val="22"/>
          <w:szCs w:val="22"/>
        </w:rPr>
        <w:drawing>
          <wp:anchor distT="0" distB="0" distL="114300" distR="114300" simplePos="0" relativeHeight="251662336" behindDoc="1" locked="0" layoutInCell="1" allowOverlap="1" wp14:anchorId="417238C3" wp14:editId="55F87731">
            <wp:simplePos x="0" y="0"/>
            <wp:positionH relativeFrom="column">
              <wp:posOffset>-248495</wp:posOffset>
            </wp:positionH>
            <wp:positionV relativeFrom="paragraph">
              <wp:posOffset>22225</wp:posOffset>
            </wp:positionV>
            <wp:extent cx="1611162" cy="101981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A Logo bluebox w tagline.jpg"/>
                    <pic:cNvPicPr/>
                  </pic:nvPicPr>
                  <pic:blipFill rotWithShape="1">
                    <a:blip r:embed="rId14" cstate="print">
                      <a:extLst>
                        <a:ext uri="{28A0092B-C50C-407E-A947-70E740481C1C}">
                          <a14:useLocalDpi xmlns:a14="http://schemas.microsoft.com/office/drawing/2010/main" val="0"/>
                        </a:ext>
                      </a:extLst>
                    </a:blip>
                    <a:srcRect l="3390" r="2404"/>
                    <a:stretch/>
                  </pic:blipFill>
                  <pic:spPr bwMode="auto">
                    <a:xfrm>
                      <a:off x="0" y="0"/>
                      <a:ext cx="1617234" cy="102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40B5B" w14:textId="77777777" w:rsidR="002B031B" w:rsidRPr="00897411" w:rsidRDefault="002B031B" w:rsidP="00897411">
      <w:pPr>
        <w:tabs>
          <w:tab w:val="left" w:pos="1284"/>
        </w:tabs>
        <w:spacing w:after="0" w:line="240" w:lineRule="auto"/>
        <w:rPr>
          <w:rFonts w:ascii="Book Antiqua" w:eastAsia="Times New Roman" w:hAnsi="Book Antiqua" w:cs="Times New Roman"/>
          <w:sz w:val="22"/>
          <w:szCs w:val="22"/>
        </w:rPr>
      </w:pPr>
      <w:r w:rsidRPr="00897411">
        <w:rPr>
          <w:rFonts w:ascii="Book Antiqua" w:eastAsia="Times New Roman" w:hAnsi="Book Antiqua" w:cs="Times New Roman"/>
          <w:sz w:val="22"/>
          <w:szCs w:val="22"/>
        </w:rPr>
        <w:fldChar w:fldCharType="begin"/>
      </w:r>
      <w:r w:rsidR="00220E3D" w:rsidRPr="00897411">
        <w:rPr>
          <w:rFonts w:ascii="Book Antiqua" w:eastAsia="Times New Roman" w:hAnsi="Book Antiqua" w:cs="Times New Roman"/>
          <w:sz w:val="22"/>
          <w:szCs w:val="22"/>
        </w:rPr>
        <w:instrText xml:space="preserve"> INCLUDEPICTURE "C:\\var\\folders\\_q\\yf97z3b93zvgr_wslmxp36qw0000gn\\T\\com.microsoft.Word\\WebArchiveCopyPasteTempFiles\\page1image3000" \* MERGEFORMAT </w:instrText>
      </w:r>
      <w:r w:rsidRPr="00897411">
        <w:rPr>
          <w:rFonts w:ascii="Book Antiqua" w:eastAsia="Times New Roman" w:hAnsi="Book Antiqua" w:cs="Times New Roman"/>
          <w:sz w:val="22"/>
          <w:szCs w:val="22"/>
        </w:rPr>
        <w:fldChar w:fldCharType="end"/>
      </w:r>
      <w:r w:rsidRPr="00897411">
        <w:rPr>
          <w:rFonts w:ascii="Book Antiqua" w:eastAsia="Times New Roman" w:hAnsi="Book Antiqua" w:cs="Times New Roman"/>
          <w:sz w:val="22"/>
          <w:szCs w:val="22"/>
        </w:rPr>
        <w:fldChar w:fldCharType="begin"/>
      </w:r>
      <w:r w:rsidR="00220E3D" w:rsidRPr="00897411">
        <w:rPr>
          <w:rFonts w:ascii="Book Antiqua" w:eastAsia="Times New Roman" w:hAnsi="Book Antiqua" w:cs="Times New Roman"/>
          <w:sz w:val="22"/>
          <w:szCs w:val="22"/>
        </w:rPr>
        <w:instrText xml:space="preserve"> INCLUDEPICTURE "C:\\var\\folders\\_q\\yf97z3b93zvgr_wslmxp36qw0000gn\\T\\com.microsoft.Word\\WebArchiveCopyPasteTempFiles\\page1image3168" \* MERGEFORMAT </w:instrText>
      </w:r>
      <w:r w:rsidRPr="00897411">
        <w:rPr>
          <w:rFonts w:ascii="Book Antiqua" w:eastAsia="Times New Roman" w:hAnsi="Book Antiqua" w:cs="Times New Roman"/>
          <w:sz w:val="22"/>
          <w:szCs w:val="22"/>
        </w:rPr>
        <w:fldChar w:fldCharType="end"/>
      </w:r>
      <w:r w:rsidRPr="00897411">
        <w:rPr>
          <w:rFonts w:ascii="Book Antiqua" w:hAnsi="Book Antiqua"/>
          <w:sz w:val="22"/>
          <w:szCs w:val="22"/>
        </w:rPr>
        <w:t xml:space="preserve"> </w:t>
      </w:r>
      <w:r w:rsidRPr="00897411">
        <w:rPr>
          <w:rFonts w:ascii="Book Antiqua" w:eastAsia="Times New Roman" w:hAnsi="Book Antiqua" w:cs="Times New Roman"/>
          <w:sz w:val="22"/>
          <w:szCs w:val="22"/>
        </w:rPr>
        <w:fldChar w:fldCharType="begin"/>
      </w:r>
      <w:r w:rsidR="00220E3D" w:rsidRPr="00897411">
        <w:rPr>
          <w:rFonts w:ascii="Book Antiqua" w:eastAsia="Times New Roman" w:hAnsi="Book Antiqua" w:cs="Times New Roman"/>
          <w:sz w:val="22"/>
          <w:szCs w:val="22"/>
        </w:rPr>
        <w:instrText xml:space="preserve"> INCLUDEPICTURE "C:\\var\\folders\\_q\\yf97z3b93zvgr_wslmxp36qw0000gn\\T\\com.microsoft.Word\\WebArchiveCopyPasteTempFiles\\page1image3336" \* MERGEFORMAT </w:instrText>
      </w:r>
      <w:r w:rsidRPr="00897411">
        <w:rPr>
          <w:rFonts w:ascii="Book Antiqua" w:eastAsia="Times New Roman" w:hAnsi="Book Antiqua" w:cs="Times New Roman"/>
          <w:sz w:val="22"/>
          <w:szCs w:val="22"/>
        </w:rPr>
        <w:fldChar w:fldCharType="end"/>
      </w:r>
      <w:r w:rsidR="00897411">
        <w:rPr>
          <w:rFonts w:ascii="Book Antiqua" w:eastAsia="Times New Roman" w:hAnsi="Book Antiqua" w:cs="Times New Roman"/>
          <w:sz w:val="22"/>
          <w:szCs w:val="22"/>
        </w:rPr>
        <w:tab/>
      </w:r>
    </w:p>
    <w:p w14:paraId="14246665" w14:textId="77777777" w:rsidR="00897411" w:rsidRDefault="00897411" w:rsidP="00897411">
      <w:pPr>
        <w:pStyle w:val="Heading1"/>
        <w:pBdr>
          <w:bottom w:val="none" w:sz="0" w:space="0" w:color="auto"/>
        </w:pBdr>
        <w:spacing w:before="0" w:after="0"/>
        <w:jc w:val="center"/>
        <w:rPr>
          <w:rFonts w:ascii="Arial" w:hAnsi="Arial" w:cs="Arial"/>
          <w:b/>
          <w:bCs/>
          <w:iCs/>
          <w:color w:val="0070C0"/>
          <w:sz w:val="32"/>
          <w:szCs w:val="32"/>
        </w:rPr>
      </w:pPr>
    </w:p>
    <w:p w14:paraId="5378FD58" w14:textId="77777777" w:rsidR="00897411" w:rsidRDefault="00897411" w:rsidP="00897411">
      <w:pPr>
        <w:pStyle w:val="Heading1"/>
        <w:pBdr>
          <w:bottom w:val="none" w:sz="0" w:space="0" w:color="auto"/>
        </w:pBdr>
        <w:spacing w:before="0" w:after="0"/>
        <w:jc w:val="center"/>
        <w:rPr>
          <w:rFonts w:ascii="Arial" w:hAnsi="Arial" w:cs="Arial"/>
          <w:b/>
          <w:bCs/>
          <w:iCs/>
          <w:color w:val="0070C0"/>
          <w:sz w:val="32"/>
          <w:szCs w:val="32"/>
        </w:rPr>
      </w:pPr>
    </w:p>
    <w:p w14:paraId="639BEBD6" w14:textId="77777777" w:rsidR="00897411" w:rsidRDefault="00C14546" w:rsidP="00897411">
      <w:pPr>
        <w:pStyle w:val="Heading1"/>
        <w:pBdr>
          <w:bottom w:val="none" w:sz="0" w:space="0" w:color="auto"/>
        </w:pBdr>
        <w:spacing w:before="0" w:after="0"/>
        <w:jc w:val="center"/>
        <w:rPr>
          <w:rFonts w:ascii="Arial" w:hAnsi="Arial" w:cs="Arial"/>
          <w:b/>
          <w:bCs/>
          <w:iCs/>
          <w:color w:val="0070C0"/>
          <w:sz w:val="32"/>
          <w:szCs w:val="32"/>
        </w:rPr>
      </w:pPr>
      <w:r w:rsidRPr="00D32AF7">
        <w:rPr>
          <w:rFonts w:ascii="Book Antiqua" w:hAnsi="Book Antiqua"/>
          <w:color w:val="auto"/>
          <w:sz w:val="22"/>
          <w:szCs w:val="22"/>
        </w:rPr>
        <w:t>–</w:t>
      </w:r>
    </w:p>
    <w:p w14:paraId="6FB36CE5" w14:textId="77777777" w:rsidR="00897411" w:rsidRDefault="00897411" w:rsidP="00897411">
      <w:pPr>
        <w:pStyle w:val="Heading1"/>
        <w:pBdr>
          <w:bottom w:val="none" w:sz="0" w:space="0" w:color="auto"/>
        </w:pBdr>
        <w:spacing w:before="0" w:after="0"/>
        <w:jc w:val="center"/>
        <w:rPr>
          <w:rFonts w:ascii="Arial" w:hAnsi="Arial" w:cs="Arial"/>
          <w:b/>
          <w:bCs/>
          <w:iCs/>
          <w:color w:val="0070C0"/>
          <w:sz w:val="32"/>
          <w:szCs w:val="32"/>
        </w:rPr>
      </w:pPr>
    </w:p>
    <w:p w14:paraId="2351DD9E" w14:textId="77777777" w:rsidR="00E70AEF" w:rsidRDefault="009F48EC" w:rsidP="00AE0791">
      <w:pPr>
        <w:pStyle w:val="Heading1"/>
        <w:pBdr>
          <w:bottom w:val="none" w:sz="0" w:space="0" w:color="auto"/>
        </w:pBdr>
        <w:spacing w:before="0" w:after="0"/>
        <w:jc w:val="center"/>
        <w:rPr>
          <w:rFonts w:ascii="Arial" w:hAnsi="Arial" w:cs="Arial"/>
          <w:b/>
          <w:bCs/>
          <w:iCs/>
          <w:color w:val="0070C0"/>
          <w:sz w:val="30"/>
          <w:szCs w:val="30"/>
        </w:rPr>
      </w:pPr>
      <w:r w:rsidRPr="00A77502">
        <w:rPr>
          <w:rFonts w:ascii="Arial" w:hAnsi="Arial" w:cs="Arial"/>
          <w:b/>
          <w:bCs/>
          <w:iCs/>
          <w:color w:val="0070C0"/>
          <w:sz w:val="30"/>
          <w:szCs w:val="30"/>
        </w:rPr>
        <w:t xml:space="preserve">Reduce </w:t>
      </w:r>
      <w:r w:rsidR="006064B6">
        <w:rPr>
          <w:rFonts w:ascii="Arial" w:hAnsi="Arial" w:cs="Arial"/>
          <w:b/>
          <w:bCs/>
          <w:iCs/>
          <w:color w:val="0070C0"/>
          <w:sz w:val="30"/>
          <w:szCs w:val="30"/>
        </w:rPr>
        <w:t xml:space="preserve">Child and Family </w:t>
      </w:r>
      <w:r w:rsidRPr="00A77502">
        <w:rPr>
          <w:rFonts w:ascii="Arial" w:hAnsi="Arial" w:cs="Arial"/>
          <w:b/>
          <w:bCs/>
          <w:iCs/>
          <w:color w:val="0070C0"/>
          <w:sz w:val="30"/>
          <w:szCs w:val="30"/>
        </w:rPr>
        <w:t>Poverty</w:t>
      </w:r>
      <w:r w:rsidR="00DE7004">
        <w:rPr>
          <w:rFonts w:ascii="Arial" w:hAnsi="Arial" w:cs="Arial"/>
          <w:b/>
          <w:bCs/>
          <w:iCs/>
          <w:color w:val="0070C0"/>
          <w:sz w:val="30"/>
          <w:szCs w:val="30"/>
        </w:rPr>
        <w:t xml:space="preserve"> by </w:t>
      </w:r>
    </w:p>
    <w:p w14:paraId="3FCE8EC9" w14:textId="16AFC41A" w:rsidR="009F48EC" w:rsidRPr="00A77502" w:rsidRDefault="00DE7004" w:rsidP="00AE0791">
      <w:pPr>
        <w:pStyle w:val="Heading1"/>
        <w:pBdr>
          <w:bottom w:val="none" w:sz="0" w:space="0" w:color="auto"/>
        </w:pBdr>
        <w:spacing w:before="0" w:after="0"/>
        <w:jc w:val="center"/>
        <w:rPr>
          <w:rFonts w:ascii="Arial" w:hAnsi="Arial" w:cs="Arial"/>
          <w:b/>
          <w:bCs/>
          <w:iCs/>
          <w:color w:val="0070C0"/>
          <w:sz w:val="30"/>
          <w:szCs w:val="30"/>
        </w:rPr>
      </w:pPr>
      <w:r>
        <w:rPr>
          <w:rFonts w:ascii="Arial" w:hAnsi="Arial" w:cs="Arial"/>
          <w:b/>
          <w:bCs/>
          <w:iCs/>
          <w:color w:val="0070C0"/>
          <w:sz w:val="30"/>
          <w:szCs w:val="30"/>
        </w:rPr>
        <w:t>Strengthening Working Family Tax Credits</w:t>
      </w:r>
    </w:p>
    <w:p w14:paraId="72489560" w14:textId="77777777" w:rsidR="00AE0791" w:rsidRDefault="00AE0791" w:rsidP="00E3735D">
      <w:pPr>
        <w:rPr>
          <w:rFonts w:ascii="Book Antiqua" w:hAnsi="Book Antiqua"/>
          <w:sz w:val="22"/>
          <w:szCs w:val="22"/>
        </w:rPr>
      </w:pPr>
    </w:p>
    <w:p w14:paraId="65977457" w14:textId="2B92271B" w:rsidR="009B00D1" w:rsidRDefault="009B00D1" w:rsidP="00A84A57">
      <w:pPr>
        <w:spacing w:after="0"/>
        <w:rPr>
          <w:rFonts w:ascii="Book Antiqua" w:hAnsi="Book Antiqua"/>
          <w:sz w:val="22"/>
          <w:szCs w:val="22"/>
        </w:rPr>
      </w:pPr>
      <w:r>
        <w:rPr>
          <w:rFonts w:ascii="Book Antiqua" w:hAnsi="Book Antiqua"/>
          <w:sz w:val="22"/>
          <w:szCs w:val="22"/>
        </w:rPr>
        <w:t xml:space="preserve">New York </w:t>
      </w:r>
      <w:r w:rsidR="00767027">
        <w:rPr>
          <w:rFonts w:ascii="Book Antiqua" w:hAnsi="Book Antiqua"/>
          <w:sz w:val="22"/>
          <w:szCs w:val="22"/>
        </w:rPr>
        <w:t xml:space="preserve">State </w:t>
      </w:r>
      <w:proofErr w:type="gramStart"/>
      <w:r>
        <w:rPr>
          <w:rFonts w:ascii="Book Antiqua" w:hAnsi="Book Antiqua"/>
          <w:sz w:val="22"/>
          <w:szCs w:val="22"/>
        </w:rPr>
        <w:t>has the opportunity to</w:t>
      </w:r>
      <w:proofErr w:type="gramEnd"/>
      <w:r>
        <w:rPr>
          <w:rFonts w:ascii="Book Antiqua" w:hAnsi="Book Antiqua"/>
          <w:sz w:val="22"/>
          <w:szCs w:val="22"/>
        </w:rPr>
        <w:t xml:space="preserve"> lead the nation in reducing poverty by passing the most </w:t>
      </w:r>
      <w:r w:rsidR="005513D7">
        <w:rPr>
          <w:rFonts w:ascii="Book Antiqua" w:hAnsi="Book Antiqua"/>
          <w:sz w:val="22"/>
          <w:szCs w:val="22"/>
        </w:rPr>
        <w:t>expansive</w:t>
      </w:r>
      <w:r>
        <w:rPr>
          <w:rFonts w:ascii="Book Antiqua" w:hAnsi="Book Antiqua"/>
          <w:sz w:val="22"/>
          <w:szCs w:val="22"/>
        </w:rPr>
        <w:t xml:space="preserve"> set of refundable tax credits </w:t>
      </w:r>
      <w:r w:rsidR="000F1064">
        <w:rPr>
          <w:rFonts w:ascii="Book Antiqua" w:hAnsi="Book Antiqua"/>
          <w:sz w:val="22"/>
          <w:szCs w:val="22"/>
        </w:rPr>
        <w:t xml:space="preserve">of any state in </w:t>
      </w:r>
      <w:r w:rsidR="005513D7">
        <w:rPr>
          <w:rFonts w:ascii="Book Antiqua" w:hAnsi="Book Antiqua"/>
          <w:sz w:val="22"/>
          <w:szCs w:val="22"/>
        </w:rPr>
        <w:t>the country</w:t>
      </w:r>
      <w:r w:rsidR="008915E5">
        <w:rPr>
          <w:rFonts w:ascii="Book Antiqua" w:hAnsi="Book Antiqua"/>
          <w:sz w:val="22"/>
          <w:szCs w:val="22"/>
        </w:rPr>
        <w:t>.</w:t>
      </w:r>
      <w:r>
        <w:rPr>
          <w:rFonts w:ascii="Book Antiqua" w:hAnsi="Book Antiqua"/>
          <w:sz w:val="22"/>
          <w:szCs w:val="22"/>
        </w:rPr>
        <w:t xml:space="preserve"> </w:t>
      </w:r>
    </w:p>
    <w:p w14:paraId="19A75AD2" w14:textId="77777777" w:rsidR="00767027" w:rsidRDefault="00767027" w:rsidP="00A84A57">
      <w:pPr>
        <w:spacing w:after="0"/>
        <w:rPr>
          <w:rFonts w:ascii="Book Antiqua" w:hAnsi="Book Antiqua"/>
          <w:sz w:val="22"/>
          <w:szCs w:val="22"/>
        </w:rPr>
      </w:pPr>
    </w:p>
    <w:p w14:paraId="325C150B" w14:textId="77777777" w:rsidR="00EC7165" w:rsidRDefault="00B4563B" w:rsidP="00EC7165">
      <w:pPr>
        <w:pStyle w:val="Subtitle"/>
        <w:spacing w:after="0"/>
        <w:rPr>
          <w:rFonts w:ascii="Book Antiqua" w:hAnsi="Book Antiqua" w:cs="Arial"/>
          <w:b/>
          <w:bCs/>
          <w:color w:val="EC7D30"/>
          <w:sz w:val="28"/>
          <w:szCs w:val="28"/>
        </w:rPr>
      </w:pPr>
      <w:r>
        <w:rPr>
          <w:rFonts w:ascii="Book Antiqua" w:hAnsi="Book Antiqua" w:cs="Arial"/>
          <w:b/>
          <w:bCs/>
          <w:color w:val="EC7D30"/>
          <w:sz w:val="28"/>
          <w:szCs w:val="28"/>
        </w:rPr>
        <w:t>2020-21 Executive Budget Recommendations</w:t>
      </w:r>
    </w:p>
    <w:p w14:paraId="13872AED" w14:textId="0D8786FA" w:rsidR="000F1064" w:rsidRPr="00EC7165" w:rsidRDefault="000F1064" w:rsidP="00EC7165">
      <w:pPr>
        <w:pStyle w:val="Subtitle"/>
        <w:spacing w:after="0"/>
      </w:pPr>
      <w:r>
        <w:rPr>
          <w:rFonts w:ascii="Book Antiqua" w:hAnsi="Book Antiqua"/>
          <w:sz w:val="22"/>
          <w:szCs w:val="22"/>
        </w:rPr>
        <w:t>By orienting</w:t>
      </w:r>
      <w:r w:rsidRPr="00A84A57">
        <w:rPr>
          <w:rFonts w:ascii="Book Antiqua" w:hAnsi="Book Antiqua"/>
          <w:sz w:val="22"/>
          <w:szCs w:val="22"/>
        </w:rPr>
        <w:t xml:space="preserve"> the state’s tax code to benefit low-income families, children, and young adults</w:t>
      </w:r>
      <w:r>
        <w:rPr>
          <w:rFonts w:ascii="Book Antiqua" w:hAnsi="Book Antiqua"/>
          <w:sz w:val="22"/>
          <w:szCs w:val="22"/>
        </w:rPr>
        <w:t xml:space="preserve">, New York State can lead the nation and provide a roadmap for effective poverty reduction efforts. </w:t>
      </w:r>
    </w:p>
    <w:p w14:paraId="613ED5BF" w14:textId="77777777" w:rsidR="00D60670" w:rsidRDefault="00D60670" w:rsidP="00A84A57">
      <w:pPr>
        <w:spacing w:after="0"/>
        <w:rPr>
          <w:rFonts w:ascii="Book Antiqua" w:hAnsi="Book Antiqua"/>
          <w:sz w:val="22"/>
          <w:szCs w:val="22"/>
        </w:rPr>
      </w:pPr>
    </w:p>
    <w:p w14:paraId="1BE6594A" w14:textId="38166610" w:rsidR="00D60670" w:rsidRDefault="00D60670" w:rsidP="00A84A57">
      <w:pPr>
        <w:spacing w:after="0"/>
        <w:rPr>
          <w:rFonts w:ascii="Book Antiqua" w:hAnsi="Book Antiqua"/>
          <w:sz w:val="22"/>
          <w:szCs w:val="22"/>
        </w:rPr>
      </w:pPr>
      <w:r>
        <w:rPr>
          <w:rFonts w:ascii="Book Antiqua" w:hAnsi="Book Antiqua"/>
          <w:sz w:val="22"/>
          <w:szCs w:val="22"/>
        </w:rPr>
        <w:t>This agenda should include a plan to:</w:t>
      </w:r>
    </w:p>
    <w:p w14:paraId="085F71B8" w14:textId="77777777" w:rsidR="00D60670" w:rsidRPr="008915E5" w:rsidRDefault="00D60670" w:rsidP="00A84A57">
      <w:pPr>
        <w:spacing w:after="0"/>
        <w:rPr>
          <w:rFonts w:ascii="Book Antiqua" w:hAnsi="Book Antiqua"/>
          <w:sz w:val="22"/>
          <w:szCs w:val="22"/>
        </w:rPr>
      </w:pPr>
    </w:p>
    <w:p w14:paraId="30BADB7C" w14:textId="77777777" w:rsidR="00495E45" w:rsidRPr="008915E5" w:rsidRDefault="00B333D6" w:rsidP="008915E5">
      <w:pPr>
        <w:pStyle w:val="ListParagraph"/>
        <w:numPr>
          <w:ilvl w:val="0"/>
          <w:numId w:val="10"/>
        </w:numPr>
        <w:spacing w:after="0"/>
        <w:rPr>
          <w:rFonts w:ascii="Book Antiqua" w:hAnsi="Book Antiqua"/>
          <w:b/>
          <w:sz w:val="22"/>
          <w:szCs w:val="22"/>
        </w:rPr>
      </w:pPr>
      <w:r w:rsidRPr="008915E5">
        <w:rPr>
          <w:rFonts w:ascii="Book Antiqua" w:hAnsi="Book Antiqua"/>
          <w:b/>
          <w:sz w:val="22"/>
          <w:szCs w:val="22"/>
        </w:rPr>
        <w:t>Expand and strengthen the Empire State Child Credit</w:t>
      </w:r>
    </w:p>
    <w:p w14:paraId="2ABDC4C8" w14:textId="77777777" w:rsidR="00D60670" w:rsidRDefault="00D60670" w:rsidP="008915E5">
      <w:pPr>
        <w:pStyle w:val="ListParagraph"/>
        <w:numPr>
          <w:ilvl w:val="1"/>
          <w:numId w:val="10"/>
        </w:numPr>
        <w:spacing w:after="0"/>
        <w:rPr>
          <w:rFonts w:ascii="Book Antiqua" w:hAnsi="Book Antiqua"/>
          <w:sz w:val="22"/>
          <w:szCs w:val="22"/>
        </w:rPr>
      </w:pPr>
      <w:r>
        <w:rPr>
          <w:rFonts w:ascii="Book Antiqua" w:hAnsi="Book Antiqua"/>
          <w:sz w:val="22"/>
          <w:szCs w:val="22"/>
        </w:rPr>
        <w:t>Establish a new early childhood tax credit of up to $1,000 per child</w:t>
      </w:r>
    </w:p>
    <w:p w14:paraId="6CE5326A" w14:textId="4FA17650" w:rsidR="00DE7004" w:rsidRDefault="00DE7004" w:rsidP="008915E5">
      <w:pPr>
        <w:pStyle w:val="ListParagraph"/>
        <w:numPr>
          <w:ilvl w:val="1"/>
          <w:numId w:val="10"/>
        </w:numPr>
        <w:spacing w:after="0"/>
        <w:rPr>
          <w:rFonts w:ascii="Book Antiqua" w:hAnsi="Book Antiqua"/>
          <w:sz w:val="22"/>
          <w:szCs w:val="22"/>
        </w:rPr>
      </w:pPr>
      <w:r>
        <w:rPr>
          <w:rFonts w:ascii="Book Antiqua" w:hAnsi="Book Antiqua"/>
          <w:sz w:val="22"/>
          <w:szCs w:val="22"/>
        </w:rPr>
        <w:t>Fully phase-in credit at $1</w:t>
      </w:r>
    </w:p>
    <w:p w14:paraId="0B82FC64" w14:textId="3E675E06" w:rsidR="00495E45" w:rsidRDefault="00D60670" w:rsidP="008915E5">
      <w:pPr>
        <w:pStyle w:val="ListParagraph"/>
        <w:numPr>
          <w:ilvl w:val="1"/>
          <w:numId w:val="10"/>
        </w:numPr>
        <w:spacing w:after="0"/>
        <w:rPr>
          <w:rFonts w:ascii="Book Antiqua" w:hAnsi="Book Antiqua"/>
          <w:sz w:val="22"/>
          <w:szCs w:val="22"/>
        </w:rPr>
      </w:pPr>
      <w:r>
        <w:rPr>
          <w:rFonts w:ascii="Book Antiqua" w:hAnsi="Book Antiqua"/>
          <w:sz w:val="22"/>
          <w:szCs w:val="22"/>
        </w:rPr>
        <w:t>Expand the existing credit</w:t>
      </w:r>
      <w:r w:rsidR="00DE7004">
        <w:rPr>
          <w:rFonts w:ascii="Book Antiqua" w:hAnsi="Book Antiqua"/>
          <w:sz w:val="22"/>
          <w:szCs w:val="22"/>
        </w:rPr>
        <w:t xml:space="preserve"> to up to $500 for children 4-17</w:t>
      </w:r>
    </w:p>
    <w:p w14:paraId="58F1D7DB" w14:textId="6D4C6CE0" w:rsidR="00662A39" w:rsidRPr="008915E5" w:rsidRDefault="007F0DA7" w:rsidP="00662A39">
      <w:pPr>
        <w:pStyle w:val="ListParagraph"/>
        <w:numPr>
          <w:ilvl w:val="0"/>
          <w:numId w:val="10"/>
        </w:numPr>
        <w:spacing w:after="0"/>
        <w:rPr>
          <w:rFonts w:ascii="Book Antiqua" w:hAnsi="Book Antiqua"/>
          <w:b/>
          <w:sz w:val="22"/>
          <w:szCs w:val="22"/>
        </w:rPr>
      </w:pPr>
      <w:r>
        <w:rPr>
          <w:rFonts w:ascii="Book Antiqua" w:hAnsi="Book Antiqua"/>
          <w:b/>
          <w:sz w:val="22"/>
          <w:szCs w:val="22"/>
        </w:rPr>
        <w:t>Make the Earned Income Tax Credit (EITC) More Equitable and Inclusive</w:t>
      </w:r>
    </w:p>
    <w:p w14:paraId="06114444" w14:textId="7B79EC31" w:rsidR="009C06FD" w:rsidRDefault="009C06FD" w:rsidP="00EC7165">
      <w:pPr>
        <w:pStyle w:val="ListParagraph"/>
        <w:numPr>
          <w:ilvl w:val="1"/>
          <w:numId w:val="10"/>
        </w:numPr>
        <w:spacing w:after="0"/>
        <w:rPr>
          <w:rFonts w:ascii="Book Antiqua" w:hAnsi="Book Antiqua"/>
          <w:sz w:val="22"/>
          <w:szCs w:val="22"/>
        </w:rPr>
      </w:pPr>
      <w:r>
        <w:rPr>
          <w:rFonts w:ascii="Book Antiqua" w:hAnsi="Book Antiqua"/>
          <w:sz w:val="22"/>
          <w:szCs w:val="22"/>
        </w:rPr>
        <w:t xml:space="preserve">Include </w:t>
      </w:r>
      <w:r w:rsidR="009C3AD9">
        <w:rPr>
          <w:rFonts w:ascii="Book Antiqua" w:hAnsi="Book Antiqua"/>
          <w:sz w:val="22"/>
          <w:szCs w:val="22"/>
        </w:rPr>
        <w:t>residents who file with Individual Taxpayer Identification Numbers (ITIN)</w:t>
      </w:r>
    </w:p>
    <w:p w14:paraId="02A073B0" w14:textId="23AF4308" w:rsidR="00EC7165" w:rsidRDefault="009C06FD" w:rsidP="00EC7165">
      <w:pPr>
        <w:pStyle w:val="ListParagraph"/>
        <w:numPr>
          <w:ilvl w:val="1"/>
          <w:numId w:val="10"/>
        </w:numPr>
        <w:spacing w:after="0"/>
        <w:rPr>
          <w:rFonts w:ascii="Book Antiqua" w:hAnsi="Book Antiqua"/>
          <w:sz w:val="22"/>
          <w:szCs w:val="22"/>
        </w:rPr>
      </w:pPr>
      <w:r>
        <w:rPr>
          <w:rFonts w:ascii="Book Antiqua" w:hAnsi="Book Antiqua"/>
          <w:sz w:val="22"/>
          <w:szCs w:val="22"/>
        </w:rPr>
        <w:t>Include</w:t>
      </w:r>
      <w:r w:rsidR="00662A39" w:rsidRPr="00EC7165">
        <w:rPr>
          <w:rFonts w:ascii="Book Antiqua" w:hAnsi="Book Antiqua"/>
          <w:sz w:val="22"/>
          <w:szCs w:val="22"/>
        </w:rPr>
        <w:t xml:space="preserve"> </w:t>
      </w:r>
      <w:r w:rsidR="00DB7170">
        <w:rPr>
          <w:rFonts w:ascii="Book Antiqua" w:hAnsi="Book Antiqua"/>
          <w:sz w:val="22"/>
          <w:szCs w:val="22"/>
        </w:rPr>
        <w:t xml:space="preserve">young </w:t>
      </w:r>
      <w:r w:rsidR="00662A39" w:rsidRPr="00EC7165">
        <w:rPr>
          <w:rFonts w:ascii="Book Antiqua" w:hAnsi="Book Antiqua"/>
          <w:sz w:val="22"/>
          <w:szCs w:val="22"/>
        </w:rPr>
        <w:t xml:space="preserve">childless workers </w:t>
      </w:r>
      <w:r w:rsidR="009C3AD9">
        <w:rPr>
          <w:rFonts w:ascii="Book Antiqua" w:hAnsi="Book Antiqua"/>
          <w:sz w:val="22"/>
          <w:szCs w:val="22"/>
        </w:rPr>
        <w:t>age 18-24</w:t>
      </w:r>
    </w:p>
    <w:p w14:paraId="15AB506B" w14:textId="7F6197E3" w:rsidR="00DB7170" w:rsidRPr="00EC7165" w:rsidRDefault="00DB7170" w:rsidP="00EC7165">
      <w:pPr>
        <w:pStyle w:val="ListParagraph"/>
        <w:numPr>
          <w:ilvl w:val="1"/>
          <w:numId w:val="10"/>
        </w:numPr>
        <w:spacing w:after="0"/>
        <w:rPr>
          <w:rFonts w:ascii="Book Antiqua" w:hAnsi="Book Antiqua"/>
          <w:sz w:val="22"/>
          <w:szCs w:val="22"/>
        </w:rPr>
      </w:pPr>
      <w:r>
        <w:rPr>
          <w:rFonts w:ascii="Book Antiqua" w:hAnsi="Book Antiqua"/>
          <w:sz w:val="22"/>
          <w:szCs w:val="22"/>
        </w:rPr>
        <w:t xml:space="preserve">Increase </w:t>
      </w:r>
      <w:r w:rsidR="008F67C7">
        <w:rPr>
          <w:rFonts w:ascii="Book Antiqua" w:hAnsi="Book Antiqua"/>
          <w:sz w:val="22"/>
          <w:szCs w:val="22"/>
        </w:rPr>
        <w:t xml:space="preserve">the income limits and phase-out rates so </w:t>
      </w:r>
      <w:r w:rsidR="00F24DC3">
        <w:rPr>
          <w:rFonts w:ascii="Book Antiqua" w:hAnsi="Book Antiqua"/>
          <w:sz w:val="22"/>
          <w:szCs w:val="22"/>
        </w:rPr>
        <w:t xml:space="preserve">that </w:t>
      </w:r>
      <w:r w:rsidR="008F67C7">
        <w:rPr>
          <w:rFonts w:ascii="Book Antiqua" w:hAnsi="Book Antiqua"/>
          <w:sz w:val="22"/>
          <w:szCs w:val="22"/>
        </w:rPr>
        <w:t>they ar</w:t>
      </w:r>
      <w:r w:rsidR="00F24DC3">
        <w:rPr>
          <w:rFonts w:ascii="Book Antiqua" w:hAnsi="Book Antiqua"/>
          <w:sz w:val="22"/>
          <w:szCs w:val="22"/>
        </w:rPr>
        <w:t xml:space="preserve">e </w:t>
      </w:r>
      <w:r w:rsidR="008F67C7">
        <w:rPr>
          <w:rFonts w:ascii="Book Antiqua" w:hAnsi="Book Antiqua"/>
          <w:sz w:val="22"/>
          <w:szCs w:val="22"/>
        </w:rPr>
        <w:t>consistent with our state minimum wage</w:t>
      </w:r>
    </w:p>
    <w:p w14:paraId="52FB354A" w14:textId="3AFB2DCD" w:rsidR="00495E45" w:rsidRPr="008915E5" w:rsidRDefault="00B4563B" w:rsidP="008915E5">
      <w:pPr>
        <w:pStyle w:val="ListParagraph"/>
        <w:numPr>
          <w:ilvl w:val="0"/>
          <w:numId w:val="10"/>
        </w:numPr>
        <w:spacing w:after="0"/>
        <w:rPr>
          <w:rFonts w:ascii="Book Antiqua" w:hAnsi="Book Antiqua"/>
          <w:b/>
          <w:sz w:val="22"/>
          <w:szCs w:val="22"/>
        </w:rPr>
      </w:pPr>
      <w:r>
        <w:rPr>
          <w:rFonts w:ascii="Book Antiqua" w:hAnsi="Book Antiqua"/>
          <w:b/>
          <w:sz w:val="22"/>
          <w:szCs w:val="22"/>
        </w:rPr>
        <w:t>Improve</w:t>
      </w:r>
      <w:r w:rsidR="00DE7004" w:rsidRPr="008915E5">
        <w:rPr>
          <w:rFonts w:ascii="Book Antiqua" w:hAnsi="Book Antiqua"/>
          <w:b/>
          <w:sz w:val="22"/>
          <w:szCs w:val="22"/>
        </w:rPr>
        <w:t xml:space="preserve"> the structure of working family tax credits</w:t>
      </w:r>
    </w:p>
    <w:p w14:paraId="0A3844FB" w14:textId="77777777" w:rsidR="00495E45" w:rsidRPr="008915E5" w:rsidRDefault="00B333D6" w:rsidP="008915E5">
      <w:pPr>
        <w:pStyle w:val="ListParagraph"/>
        <w:numPr>
          <w:ilvl w:val="1"/>
          <w:numId w:val="10"/>
        </w:numPr>
        <w:spacing w:after="0"/>
        <w:rPr>
          <w:rFonts w:ascii="Book Antiqua" w:hAnsi="Book Antiqua"/>
          <w:sz w:val="22"/>
          <w:szCs w:val="22"/>
        </w:rPr>
      </w:pPr>
      <w:r w:rsidRPr="008915E5">
        <w:rPr>
          <w:rFonts w:ascii="Book Antiqua" w:hAnsi="Book Antiqua"/>
          <w:sz w:val="22"/>
          <w:szCs w:val="22"/>
        </w:rPr>
        <w:t>Allow quarterly payments option</w:t>
      </w:r>
    </w:p>
    <w:p w14:paraId="6B45C4D1" w14:textId="77777777" w:rsidR="00DE7004" w:rsidRDefault="00DE7004" w:rsidP="008915E5">
      <w:pPr>
        <w:spacing w:after="0"/>
        <w:rPr>
          <w:rFonts w:ascii="Book Antiqua" w:hAnsi="Book Antiqua"/>
          <w:sz w:val="22"/>
          <w:szCs w:val="22"/>
        </w:rPr>
      </w:pPr>
    </w:p>
    <w:p w14:paraId="62C75E52" w14:textId="72F601BC" w:rsidR="00662A39" w:rsidRPr="00A84A57" w:rsidRDefault="00662A39" w:rsidP="00662A39">
      <w:pPr>
        <w:spacing w:after="0" w:line="240" w:lineRule="auto"/>
        <w:rPr>
          <w:rFonts w:ascii="Book Antiqua" w:hAnsi="Book Antiqua"/>
          <w:sz w:val="22"/>
          <w:szCs w:val="22"/>
        </w:rPr>
      </w:pPr>
      <w:r w:rsidRPr="00A84A57">
        <w:rPr>
          <w:rFonts w:ascii="Book Antiqua" w:hAnsi="Book Antiqua"/>
          <w:sz w:val="22"/>
          <w:szCs w:val="22"/>
        </w:rPr>
        <w:t xml:space="preserve">There is a growing understanding around the nation and the world about the outsized positive benefits income </w:t>
      </w:r>
      <w:r>
        <w:rPr>
          <w:rFonts w:ascii="Book Antiqua" w:hAnsi="Book Antiqua"/>
          <w:sz w:val="22"/>
          <w:szCs w:val="22"/>
        </w:rPr>
        <w:t>supports</w:t>
      </w:r>
      <w:r w:rsidRPr="00A84A57">
        <w:rPr>
          <w:rFonts w:ascii="Book Antiqua" w:hAnsi="Book Antiqua"/>
          <w:sz w:val="22"/>
          <w:szCs w:val="22"/>
        </w:rPr>
        <w:t xml:space="preserve"> can ha</w:t>
      </w:r>
      <w:r>
        <w:rPr>
          <w:rFonts w:ascii="Book Antiqua" w:hAnsi="Book Antiqua"/>
          <w:sz w:val="22"/>
          <w:szCs w:val="22"/>
        </w:rPr>
        <w:t xml:space="preserve">ve for children’s well-being. </w:t>
      </w:r>
      <w:r w:rsidRPr="00A84A57">
        <w:rPr>
          <w:rFonts w:ascii="Book Antiqua" w:hAnsi="Book Antiqua"/>
          <w:sz w:val="22"/>
          <w:szCs w:val="22"/>
        </w:rPr>
        <w:t xml:space="preserve">This understanding has led many state and federal lawmakers to advance proposals to </w:t>
      </w:r>
      <w:r>
        <w:rPr>
          <w:rFonts w:ascii="Book Antiqua" w:hAnsi="Book Antiqua"/>
          <w:sz w:val="22"/>
          <w:szCs w:val="22"/>
        </w:rPr>
        <w:t>supplement the income of</w:t>
      </w:r>
      <w:r w:rsidRPr="00A84A57">
        <w:rPr>
          <w:rFonts w:ascii="Book Antiqua" w:hAnsi="Book Antiqua"/>
          <w:sz w:val="22"/>
          <w:szCs w:val="22"/>
        </w:rPr>
        <w:t xml:space="preserve"> low-income families and individuals </w:t>
      </w:r>
      <w:r>
        <w:rPr>
          <w:rFonts w:ascii="Book Antiqua" w:hAnsi="Book Antiqua"/>
          <w:sz w:val="22"/>
          <w:szCs w:val="22"/>
        </w:rPr>
        <w:t>through</w:t>
      </w:r>
      <w:r w:rsidRPr="00A84A57">
        <w:rPr>
          <w:rFonts w:ascii="Book Antiqua" w:hAnsi="Book Antiqua"/>
          <w:sz w:val="22"/>
          <w:szCs w:val="22"/>
        </w:rPr>
        <w:t xml:space="preserve"> child allowances</w:t>
      </w:r>
      <w:r>
        <w:rPr>
          <w:rFonts w:ascii="Book Antiqua" w:hAnsi="Book Antiqua"/>
          <w:sz w:val="22"/>
          <w:szCs w:val="22"/>
        </w:rPr>
        <w:t xml:space="preserve"> or refundable tax credits. </w:t>
      </w:r>
      <w:r w:rsidRPr="00A84A57">
        <w:rPr>
          <w:rFonts w:ascii="Book Antiqua" w:hAnsi="Book Antiqua"/>
          <w:sz w:val="22"/>
          <w:szCs w:val="22"/>
        </w:rPr>
        <w:t xml:space="preserve">Driving this emerging discussion is the strong evidence that such policies – particularly child allowances – </w:t>
      </w:r>
      <w:r>
        <w:rPr>
          <w:rFonts w:ascii="Book Antiqua" w:hAnsi="Book Antiqua"/>
          <w:sz w:val="22"/>
          <w:szCs w:val="22"/>
        </w:rPr>
        <w:t>long</w:t>
      </w:r>
      <w:r w:rsidRPr="00A84A57">
        <w:rPr>
          <w:rFonts w:ascii="Book Antiqua" w:hAnsi="Book Antiqua"/>
          <w:sz w:val="22"/>
          <w:szCs w:val="22"/>
        </w:rPr>
        <w:t xml:space="preserve"> in effect </w:t>
      </w:r>
      <w:r>
        <w:rPr>
          <w:rFonts w:ascii="Book Antiqua" w:hAnsi="Book Antiqua"/>
          <w:sz w:val="22"/>
          <w:szCs w:val="22"/>
        </w:rPr>
        <w:t>in many</w:t>
      </w:r>
      <w:r w:rsidRPr="00A84A57">
        <w:rPr>
          <w:rFonts w:ascii="Book Antiqua" w:hAnsi="Book Antiqua"/>
          <w:sz w:val="22"/>
          <w:szCs w:val="22"/>
        </w:rPr>
        <w:t xml:space="preserve"> peer nations, have dramatically reduced child poverty.  </w:t>
      </w:r>
      <w:r>
        <w:rPr>
          <w:rFonts w:ascii="Book Antiqua" w:hAnsi="Book Antiqua"/>
          <w:sz w:val="22"/>
          <w:szCs w:val="22"/>
        </w:rPr>
        <w:t>For instance, t</w:t>
      </w:r>
      <w:r w:rsidRPr="00A84A57">
        <w:rPr>
          <w:rFonts w:ascii="Book Antiqua" w:hAnsi="Book Antiqua"/>
          <w:sz w:val="22"/>
          <w:szCs w:val="22"/>
        </w:rPr>
        <w:t>he child poverty rate in most European count</w:t>
      </w:r>
      <w:r>
        <w:rPr>
          <w:rFonts w:ascii="Book Antiqua" w:hAnsi="Book Antiqua"/>
          <w:sz w:val="22"/>
          <w:szCs w:val="22"/>
        </w:rPr>
        <w:t>r</w:t>
      </w:r>
      <w:r w:rsidRPr="00A84A57">
        <w:rPr>
          <w:rFonts w:ascii="Book Antiqua" w:hAnsi="Book Antiqua"/>
          <w:sz w:val="22"/>
          <w:szCs w:val="22"/>
        </w:rPr>
        <w:t xml:space="preserve">ies is </w:t>
      </w:r>
      <w:r>
        <w:rPr>
          <w:rFonts w:ascii="Book Antiqua" w:hAnsi="Book Antiqua"/>
          <w:sz w:val="22"/>
          <w:szCs w:val="22"/>
        </w:rPr>
        <w:t>less than h</w:t>
      </w:r>
      <w:r w:rsidRPr="00A84A57">
        <w:rPr>
          <w:rFonts w:ascii="Book Antiqua" w:hAnsi="Book Antiqua"/>
          <w:sz w:val="22"/>
          <w:szCs w:val="22"/>
        </w:rPr>
        <w:t>alf that found in the United States.</w:t>
      </w:r>
      <w:r w:rsidRPr="00A84A57">
        <w:rPr>
          <w:rStyle w:val="EndnoteReference"/>
          <w:rFonts w:ascii="Book Antiqua" w:hAnsi="Book Antiqua"/>
          <w:sz w:val="22"/>
          <w:szCs w:val="22"/>
        </w:rPr>
        <w:endnoteReference w:id="1"/>
      </w:r>
      <w:r w:rsidRPr="00A84A57">
        <w:rPr>
          <w:rFonts w:ascii="Book Antiqua" w:hAnsi="Book Antiqua"/>
          <w:sz w:val="22"/>
          <w:szCs w:val="22"/>
        </w:rPr>
        <w:t xml:space="preserve"> </w:t>
      </w:r>
    </w:p>
    <w:p w14:paraId="157A69B3" w14:textId="77777777" w:rsidR="00662A39" w:rsidRPr="00A84A57" w:rsidRDefault="00662A39" w:rsidP="00662A39">
      <w:pPr>
        <w:spacing w:after="0" w:line="240" w:lineRule="auto"/>
        <w:rPr>
          <w:rFonts w:ascii="Book Antiqua" w:hAnsi="Book Antiqua"/>
          <w:sz w:val="22"/>
          <w:szCs w:val="22"/>
        </w:rPr>
      </w:pPr>
    </w:p>
    <w:p w14:paraId="1435BFD0" w14:textId="77777777" w:rsidR="00662A39" w:rsidRPr="00A84A57" w:rsidRDefault="00662A39" w:rsidP="00662A39">
      <w:pPr>
        <w:spacing w:after="0" w:line="240" w:lineRule="auto"/>
        <w:rPr>
          <w:rFonts w:ascii="Book Antiqua" w:hAnsi="Book Antiqua"/>
          <w:sz w:val="22"/>
          <w:szCs w:val="22"/>
        </w:rPr>
      </w:pPr>
      <w:r w:rsidRPr="00A84A57">
        <w:rPr>
          <w:rFonts w:ascii="Book Antiqua" w:hAnsi="Book Antiqua"/>
          <w:sz w:val="22"/>
          <w:szCs w:val="22"/>
        </w:rPr>
        <w:t>New York State is overdue to take aggressive, innovative steps to reduce the number of children growing up in poverty.  These reforms would provide immediate economic relief to thousands of children and families</w:t>
      </w:r>
      <w:r>
        <w:rPr>
          <w:rFonts w:ascii="Book Antiqua" w:hAnsi="Book Antiqua"/>
          <w:sz w:val="22"/>
          <w:szCs w:val="22"/>
        </w:rPr>
        <w:t xml:space="preserve"> and set an example for the rest of the nation.</w:t>
      </w:r>
    </w:p>
    <w:p w14:paraId="6D0C427C" w14:textId="77777777" w:rsidR="00662A39" w:rsidRPr="008915E5" w:rsidRDefault="00662A39" w:rsidP="00662A39">
      <w:pPr>
        <w:spacing w:after="0"/>
        <w:rPr>
          <w:rFonts w:ascii="Book Antiqua" w:hAnsi="Book Antiqua"/>
          <w:sz w:val="22"/>
          <w:szCs w:val="22"/>
        </w:rPr>
      </w:pPr>
    </w:p>
    <w:p w14:paraId="51418DE1" w14:textId="12436902" w:rsidR="00DE7004" w:rsidRDefault="000F1064" w:rsidP="008915E5">
      <w:pPr>
        <w:pStyle w:val="Subtitle"/>
      </w:pPr>
      <w:r>
        <w:rPr>
          <w:rFonts w:ascii="Book Antiqua" w:hAnsi="Book Antiqua" w:cs="Arial"/>
          <w:b/>
          <w:bCs/>
          <w:color w:val="EC7D30"/>
          <w:sz w:val="28"/>
          <w:szCs w:val="28"/>
        </w:rPr>
        <w:t>Background</w:t>
      </w:r>
    </w:p>
    <w:p w14:paraId="47839431" w14:textId="33862A74" w:rsidR="00DE7004" w:rsidRPr="00A84A57" w:rsidRDefault="00FE1C09" w:rsidP="00DE7004">
      <w:pPr>
        <w:spacing w:after="0"/>
        <w:rPr>
          <w:rFonts w:ascii="Book Antiqua" w:hAnsi="Book Antiqua"/>
          <w:sz w:val="22"/>
          <w:szCs w:val="22"/>
        </w:rPr>
      </w:pPr>
      <w:r>
        <w:rPr>
          <w:rFonts w:ascii="Book Antiqua" w:hAnsi="Book Antiqua"/>
          <w:sz w:val="22"/>
          <w:szCs w:val="22"/>
        </w:rPr>
        <w:t>Nearly</w:t>
      </w:r>
      <w:r w:rsidR="00DE7004" w:rsidRPr="00A84A57">
        <w:rPr>
          <w:rFonts w:ascii="Book Antiqua" w:hAnsi="Book Antiqua"/>
          <w:sz w:val="22"/>
          <w:szCs w:val="22"/>
        </w:rPr>
        <w:t xml:space="preserve"> 20%, or approximately </w:t>
      </w:r>
      <w:r w:rsidRPr="0072254D">
        <w:rPr>
          <w:rFonts w:ascii="Book Antiqua" w:hAnsi="Book Antiqua"/>
        </w:rPr>
        <w:t xml:space="preserve">743,000 </w:t>
      </w:r>
      <w:r w:rsidR="00DE7004" w:rsidRPr="00A84A57">
        <w:rPr>
          <w:rFonts w:ascii="Book Antiqua" w:hAnsi="Book Antiqua"/>
          <w:sz w:val="22"/>
          <w:szCs w:val="22"/>
        </w:rPr>
        <w:t>New York children live below the federal poverty thresho</w:t>
      </w:r>
      <w:r>
        <w:rPr>
          <w:rFonts w:ascii="Book Antiqua" w:hAnsi="Book Antiqua"/>
          <w:sz w:val="22"/>
          <w:szCs w:val="22"/>
        </w:rPr>
        <w:t>ld, (including approximately 260</w:t>
      </w:r>
      <w:r w:rsidR="00DE7004" w:rsidRPr="00A84A57">
        <w:rPr>
          <w:rFonts w:ascii="Book Antiqua" w:hAnsi="Book Antiqua"/>
          <w:sz w:val="22"/>
          <w:szCs w:val="22"/>
        </w:rPr>
        <w:t>,000 children under age five), with that rate rising to nearly one in three among children of color.</w:t>
      </w:r>
      <w:r w:rsidR="00DE7004" w:rsidRPr="00A84A57">
        <w:rPr>
          <w:rStyle w:val="EndnoteReference"/>
          <w:rFonts w:ascii="Book Antiqua" w:hAnsi="Book Antiqua"/>
          <w:sz w:val="22"/>
          <w:szCs w:val="22"/>
        </w:rPr>
        <w:endnoteReference w:id="2"/>
      </w:r>
      <w:r w:rsidR="00DE7004" w:rsidRPr="00A84A57">
        <w:rPr>
          <w:rFonts w:ascii="Book Antiqua" w:hAnsi="Book Antiqua"/>
          <w:sz w:val="22"/>
          <w:szCs w:val="22"/>
        </w:rPr>
        <w:t xml:space="preserve">  Children under age five are most likely to experience poverty and are most </w:t>
      </w:r>
      <w:r w:rsidR="00DE7004" w:rsidRPr="00A84A57">
        <w:rPr>
          <w:rFonts w:ascii="Book Antiqua" w:hAnsi="Book Antiqua"/>
          <w:sz w:val="22"/>
          <w:szCs w:val="22"/>
        </w:rPr>
        <w:lastRenderedPageBreak/>
        <w:t>vulnerable to its impacts.  The consequences of poverty for young children include negative effects to physical and mental health, educational achievement, and diminished lifetime earnings.  Many of our upstate cities have child poverty rates that hover around 50%.</w:t>
      </w:r>
      <w:r w:rsidR="00DE7004" w:rsidRPr="00A84A57">
        <w:rPr>
          <w:rStyle w:val="EndnoteReference"/>
          <w:rFonts w:ascii="Book Antiqua" w:hAnsi="Book Antiqua"/>
          <w:sz w:val="22"/>
          <w:szCs w:val="22"/>
        </w:rPr>
        <w:endnoteReference w:id="3"/>
      </w:r>
      <w:r w:rsidR="00DE7004" w:rsidRPr="00A84A57">
        <w:rPr>
          <w:rFonts w:ascii="Book Antiqua" w:hAnsi="Book Antiqua"/>
          <w:sz w:val="22"/>
          <w:szCs w:val="22"/>
        </w:rPr>
        <w:t xml:space="preserve">  The vast majority of children living in poor families – 67% – have at least one employed parent.</w:t>
      </w:r>
      <w:r w:rsidR="00DE7004" w:rsidRPr="00A84A57">
        <w:rPr>
          <w:rStyle w:val="EndnoteReference"/>
          <w:rFonts w:ascii="Book Antiqua" w:hAnsi="Book Antiqua"/>
          <w:sz w:val="22"/>
          <w:szCs w:val="22"/>
        </w:rPr>
        <w:endnoteReference w:id="4"/>
      </w:r>
      <w:r w:rsidR="00DE7004" w:rsidRPr="00A84A57">
        <w:rPr>
          <w:rFonts w:ascii="Book Antiqua" w:hAnsi="Book Antiqua"/>
          <w:sz w:val="22"/>
          <w:szCs w:val="22"/>
        </w:rPr>
        <w:t xml:space="preserve">  </w:t>
      </w:r>
      <w:r w:rsidR="00B4563B" w:rsidRPr="00A84A57">
        <w:rPr>
          <w:rFonts w:ascii="Book Antiqua" w:hAnsi="Book Antiqua"/>
          <w:sz w:val="22"/>
          <w:szCs w:val="22"/>
        </w:rPr>
        <w:t xml:space="preserve">These numbers are staggering and shameful, particularly in a state with a strong economy.  New York State </w:t>
      </w:r>
      <w:r w:rsidR="00B4563B" w:rsidRPr="00A84A57">
        <w:rPr>
          <w:rFonts w:ascii="Book Antiqua" w:hAnsi="Book Antiqua" w:cs="Arial"/>
          <w:sz w:val="22"/>
          <w:szCs w:val="22"/>
        </w:rPr>
        <w:t>boasts the 14</w:t>
      </w:r>
      <w:r w:rsidR="00B4563B" w:rsidRPr="00A84A57">
        <w:rPr>
          <w:rFonts w:ascii="Book Antiqua" w:hAnsi="Book Antiqua" w:cs="Arial"/>
          <w:sz w:val="22"/>
          <w:szCs w:val="22"/>
          <w:vertAlign w:val="superscript"/>
        </w:rPr>
        <w:t>th</w:t>
      </w:r>
      <w:r w:rsidR="00B4563B" w:rsidRPr="00A84A57">
        <w:rPr>
          <w:rFonts w:ascii="Book Antiqua" w:hAnsi="Book Antiqua" w:cs="Arial"/>
          <w:sz w:val="22"/>
          <w:szCs w:val="22"/>
        </w:rPr>
        <w:t xml:space="preserve"> strongest economy in the nation, yet we rank 39</w:t>
      </w:r>
      <w:r w:rsidR="00B4563B" w:rsidRPr="00A84A57">
        <w:rPr>
          <w:rFonts w:ascii="Book Antiqua" w:hAnsi="Book Antiqua" w:cs="Arial"/>
          <w:sz w:val="22"/>
          <w:szCs w:val="22"/>
          <w:vertAlign w:val="superscript"/>
        </w:rPr>
        <w:t>th</w:t>
      </w:r>
      <w:r w:rsidR="00B4563B" w:rsidRPr="00A84A57">
        <w:rPr>
          <w:rFonts w:ascii="Book Antiqua" w:hAnsi="Book Antiqua" w:cs="Arial"/>
          <w:sz w:val="22"/>
          <w:szCs w:val="22"/>
        </w:rPr>
        <w:t xml:space="preserve"> in child economic well-being.</w:t>
      </w:r>
      <w:r w:rsidR="00B4563B" w:rsidRPr="00A84A57">
        <w:rPr>
          <w:rStyle w:val="EndnoteReference"/>
          <w:rFonts w:ascii="Book Antiqua" w:hAnsi="Book Antiqua" w:cs="Arial"/>
          <w:sz w:val="22"/>
          <w:szCs w:val="22"/>
        </w:rPr>
        <w:endnoteReference w:id="5"/>
      </w:r>
      <w:r w:rsidR="00B4563B" w:rsidRPr="00A84A57">
        <w:rPr>
          <w:rFonts w:ascii="Book Antiqua" w:hAnsi="Book Antiqua" w:cs="Arial"/>
          <w:sz w:val="22"/>
          <w:szCs w:val="22"/>
          <w:vertAlign w:val="superscript"/>
        </w:rPr>
        <w:t>,</w:t>
      </w:r>
      <w:r w:rsidR="00B4563B" w:rsidRPr="00A84A57">
        <w:rPr>
          <w:rStyle w:val="EndnoteReference"/>
          <w:rFonts w:ascii="Book Antiqua" w:hAnsi="Book Antiqua" w:cs="Arial"/>
          <w:sz w:val="22"/>
          <w:szCs w:val="22"/>
        </w:rPr>
        <w:endnoteReference w:id="6"/>
      </w:r>
      <w:r w:rsidR="00B4563B" w:rsidRPr="00A84A57">
        <w:rPr>
          <w:rFonts w:ascii="Book Antiqua" w:hAnsi="Book Antiqua" w:cs="Arial"/>
          <w:sz w:val="22"/>
          <w:szCs w:val="22"/>
        </w:rPr>
        <w:t xml:space="preserve">  </w:t>
      </w:r>
    </w:p>
    <w:p w14:paraId="1DD8E4EF" w14:textId="77777777" w:rsidR="00DE7004" w:rsidRPr="00A84A57" w:rsidRDefault="00DE7004" w:rsidP="00DE7004">
      <w:pPr>
        <w:pStyle w:val="content"/>
        <w:spacing w:after="0" w:line="240" w:lineRule="auto"/>
        <w:ind w:right="58"/>
        <w:rPr>
          <w:rFonts w:ascii="Book Antiqua" w:hAnsi="Book Antiqua" w:cs="Times New Roman"/>
          <w:sz w:val="22"/>
          <w:szCs w:val="22"/>
        </w:rPr>
      </w:pPr>
    </w:p>
    <w:p w14:paraId="24D36317" w14:textId="165475A8" w:rsidR="00DE7004" w:rsidRPr="00A84A57" w:rsidRDefault="00DE7004" w:rsidP="00DE7004">
      <w:pPr>
        <w:pStyle w:val="content"/>
        <w:spacing w:after="0" w:line="240" w:lineRule="auto"/>
        <w:ind w:right="58"/>
        <w:rPr>
          <w:rFonts w:ascii="Book Antiqua" w:hAnsi="Book Antiqua"/>
          <w:sz w:val="22"/>
          <w:szCs w:val="22"/>
        </w:rPr>
      </w:pPr>
      <w:r w:rsidRPr="00A84A57">
        <w:rPr>
          <w:rFonts w:ascii="Book Antiqua" w:hAnsi="Book Antiqua" w:cs="Times New Roman"/>
          <w:sz w:val="22"/>
          <w:szCs w:val="22"/>
        </w:rPr>
        <w:t>Another group that is over-represented among New Yorkers who live in poverty are young</w:t>
      </w:r>
      <w:r w:rsidRPr="00A84A57">
        <w:rPr>
          <w:rFonts w:ascii="Book Antiqua" w:hAnsi="Book Antiqua"/>
          <w:sz w:val="22"/>
          <w:szCs w:val="22"/>
        </w:rPr>
        <w:t xml:space="preserve"> adul</w:t>
      </w:r>
      <w:r w:rsidR="00FE1C09">
        <w:rPr>
          <w:rFonts w:ascii="Book Antiqua" w:hAnsi="Book Antiqua"/>
          <w:sz w:val="22"/>
          <w:szCs w:val="22"/>
        </w:rPr>
        <w:t>ts under age 25, 19</w:t>
      </w:r>
      <w:r w:rsidRPr="00A84A57">
        <w:rPr>
          <w:rFonts w:ascii="Book Antiqua" w:hAnsi="Book Antiqua"/>
          <w:sz w:val="22"/>
          <w:szCs w:val="22"/>
        </w:rPr>
        <w:t xml:space="preserve">% of whom live in poverty, far exceeding the 14% poverty rate for </w:t>
      </w:r>
      <w:r>
        <w:rPr>
          <w:rFonts w:ascii="Book Antiqua" w:hAnsi="Book Antiqua"/>
          <w:sz w:val="22"/>
          <w:szCs w:val="22"/>
        </w:rPr>
        <w:t>the state</w:t>
      </w:r>
      <w:r w:rsidRPr="00A84A57">
        <w:rPr>
          <w:rFonts w:ascii="Book Antiqua" w:hAnsi="Book Antiqua"/>
          <w:sz w:val="22"/>
          <w:szCs w:val="22"/>
        </w:rPr>
        <w:t xml:space="preserve"> overall. </w:t>
      </w:r>
      <w:r w:rsidR="00FE1C09">
        <w:rPr>
          <w:rStyle w:val="EndnoteReference"/>
          <w:rFonts w:ascii="Book Antiqua" w:hAnsi="Book Antiqua"/>
          <w:sz w:val="22"/>
          <w:szCs w:val="22"/>
        </w:rPr>
        <w:endnoteReference w:id="7"/>
      </w:r>
      <w:r w:rsidRPr="00A84A57">
        <w:rPr>
          <w:rFonts w:ascii="Book Antiqua" w:hAnsi="Book Antiqua"/>
          <w:sz w:val="22"/>
          <w:szCs w:val="22"/>
        </w:rPr>
        <w:t xml:space="preserve"> </w:t>
      </w:r>
    </w:p>
    <w:p w14:paraId="5C8D4105" w14:textId="77777777" w:rsidR="00DE7004" w:rsidRPr="00A84A57" w:rsidRDefault="00DE7004" w:rsidP="00DE7004">
      <w:pPr>
        <w:pStyle w:val="content"/>
        <w:spacing w:after="0" w:line="240" w:lineRule="auto"/>
        <w:ind w:right="58"/>
        <w:rPr>
          <w:rFonts w:ascii="Book Antiqua" w:hAnsi="Book Antiqua"/>
          <w:sz w:val="22"/>
          <w:szCs w:val="22"/>
        </w:rPr>
      </w:pPr>
    </w:p>
    <w:p w14:paraId="5BFF85B2" w14:textId="77777777" w:rsidR="00DE7004" w:rsidRPr="00A84A57" w:rsidRDefault="00DE7004" w:rsidP="00DE7004">
      <w:pPr>
        <w:pStyle w:val="NormalWeb"/>
        <w:spacing w:before="0" w:beforeAutospacing="0" w:after="0" w:afterAutospacing="0" w:line="240" w:lineRule="auto"/>
        <w:rPr>
          <w:rFonts w:ascii="Book Antiqua" w:hAnsi="Book Antiqua"/>
          <w:color w:val="000000"/>
          <w:sz w:val="22"/>
          <w:szCs w:val="22"/>
        </w:rPr>
      </w:pPr>
      <w:r w:rsidRPr="00A84A57">
        <w:rPr>
          <w:rFonts w:ascii="Book Antiqua" w:hAnsi="Book Antiqua"/>
          <w:color w:val="000000"/>
          <w:sz w:val="22"/>
          <w:szCs w:val="22"/>
        </w:rPr>
        <w:t xml:space="preserve">In fact, the problems of income insecurity among New York children, families, and young adults is much greater than the poverty numbers would suggest.  United Way of New York’s ALICE Project has developed a measure to capture a largely hidden population: hardworking households earning more than the Federal Poverty Level, but not enough to afford the basic cost of living.  United Way calls this population ALICE: Asset Limited, Income Constrained, Employed.  While more than 14% of New York households fall below the poverty level, an additional 31% of New York households fall below the ALICE Threshold.  Those percentages are higher for families of color, and, as noted above, among families with children and young adults.  </w:t>
      </w:r>
    </w:p>
    <w:p w14:paraId="74B8E2D0" w14:textId="77777777" w:rsidR="00DE7004" w:rsidRPr="00A84A57" w:rsidRDefault="00DE7004" w:rsidP="00DE7004">
      <w:pPr>
        <w:pStyle w:val="NormalWeb"/>
        <w:spacing w:before="0" w:beforeAutospacing="0" w:after="0" w:afterAutospacing="0" w:line="240" w:lineRule="auto"/>
        <w:rPr>
          <w:rFonts w:ascii="Book Antiqua" w:hAnsi="Book Antiqua"/>
          <w:color w:val="000000"/>
          <w:sz w:val="22"/>
          <w:szCs w:val="22"/>
        </w:rPr>
      </w:pPr>
    </w:p>
    <w:p w14:paraId="465449B3" w14:textId="77777777" w:rsidR="0079416A" w:rsidRDefault="0079416A" w:rsidP="0079416A">
      <w:pPr>
        <w:spacing w:after="0"/>
        <w:rPr>
          <w:rFonts w:ascii="Book Antiqua" w:hAnsi="Book Antiqua"/>
          <w:sz w:val="22"/>
          <w:szCs w:val="22"/>
        </w:rPr>
      </w:pPr>
      <w:r w:rsidRPr="00313325">
        <w:rPr>
          <w:rFonts w:ascii="Book Antiqua" w:eastAsiaTheme="majorEastAsia" w:hAnsi="Book Antiqua" w:cs="Arial"/>
          <w:b/>
          <w:bCs/>
          <w:color w:val="EC7D30"/>
          <w:sz w:val="28"/>
          <w:szCs w:val="28"/>
        </w:rPr>
        <w:t>Expand</w:t>
      </w:r>
      <w:r>
        <w:rPr>
          <w:rFonts w:ascii="Book Antiqua" w:eastAsiaTheme="majorEastAsia" w:hAnsi="Book Antiqua" w:cs="Arial"/>
          <w:b/>
          <w:bCs/>
          <w:color w:val="EC7D30"/>
          <w:sz w:val="28"/>
          <w:szCs w:val="28"/>
        </w:rPr>
        <w:t xml:space="preserve"> and Strengthen</w:t>
      </w:r>
      <w:r w:rsidRPr="00313325">
        <w:rPr>
          <w:rFonts w:ascii="Book Antiqua" w:eastAsiaTheme="majorEastAsia" w:hAnsi="Book Antiqua" w:cs="Arial"/>
          <w:b/>
          <w:bCs/>
          <w:color w:val="EC7D30"/>
          <w:sz w:val="28"/>
          <w:szCs w:val="28"/>
        </w:rPr>
        <w:t xml:space="preserve"> the Empire State Child Credit</w:t>
      </w:r>
    </w:p>
    <w:p w14:paraId="2A9C231B" w14:textId="77777777" w:rsidR="0079416A" w:rsidRDefault="0079416A" w:rsidP="0079416A">
      <w:pPr>
        <w:rPr>
          <w:rFonts w:ascii="Book Antiqua" w:hAnsi="Book Antiqua"/>
          <w:sz w:val="22"/>
          <w:szCs w:val="22"/>
        </w:rPr>
      </w:pPr>
      <w:r w:rsidRPr="00A84A57">
        <w:rPr>
          <w:rFonts w:ascii="Book Antiqua" w:eastAsia="Times New Roman" w:hAnsi="Book Antiqua" w:cs="Calibri"/>
          <w:sz w:val="22"/>
          <w:szCs w:val="22"/>
        </w:rPr>
        <w:t>The Empire State Child Credit</w:t>
      </w:r>
      <w:r>
        <w:rPr>
          <w:rFonts w:ascii="Book Antiqua" w:eastAsia="Times New Roman" w:hAnsi="Book Antiqua" w:cs="Calibri"/>
          <w:sz w:val="22"/>
          <w:szCs w:val="22"/>
        </w:rPr>
        <w:t xml:space="preserve"> currently</w:t>
      </w:r>
      <w:r w:rsidRPr="00A84A57">
        <w:rPr>
          <w:rFonts w:ascii="Book Antiqua" w:eastAsia="Times New Roman" w:hAnsi="Book Antiqua" w:cs="Calibri"/>
          <w:sz w:val="22"/>
          <w:szCs w:val="22"/>
        </w:rPr>
        <w:t xml:space="preserve"> provides up to $330 in tax relief to parents for each child, </w:t>
      </w:r>
      <w:r w:rsidRPr="00A84A57">
        <w:rPr>
          <w:rFonts w:ascii="Book Antiqua" w:eastAsia="Times New Roman" w:hAnsi="Book Antiqua" w:cs="Calibri"/>
          <w:i/>
          <w:iCs/>
          <w:sz w:val="22"/>
          <w:szCs w:val="22"/>
        </w:rPr>
        <w:t>if those children are at least 4 years old</w:t>
      </w:r>
      <w:r w:rsidRPr="00A84A57">
        <w:rPr>
          <w:rFonts w:ascii="Book Antiqua" w:eastAsia="Times New Roman" w:hAnsi="Book Antiqua" w:cs="Calibri"/>
          <w:sz w:val="22"/>
          <w:szCs w:val="22"/>
        </w:rPr>
        <w:t>.  The credit is targeted to low-income working parents.</w:t>
      </w:r>
      <w:r>
        <w:t xml:space="preserve"> </w:t>
      </w:r>
      <w:r w:rsidRPr="00A84A57">
        <w:rPr>
          <w:rFonts w:ascii="Book Antiqua" w:eastAsia="Times New Roman" w:hAnsi="Book Antiqua" w:cs="Calibri"/>
          <w:sz w:val="22"/>
          <w:szCs w:val="22"/>
        </w:rPr>
        <w:t>Single parents earning more than $75,000 and couples earning more than $110,000 have the value of the credit phased out or eliminated, based on the number of qualifying children and their income.</w:t>
      </w:r>
      <w:r>
        <w:rPr>
          <w:rFonts w:ascii="Book Antiqua" w:eastAsia="Times New Roman" w:hAnsi="Book Antiqua" w:cs="Calibri"/>
          <w:sz w:val="22"/>
          <w:szCs w:val="22"/>
        </w:rPr>
        <w:t xml:space="preserve"> </w:t>
      </w:r>
      <w:r w:rsidRPr="00A84A57">
        <w:rPr>
          <w:rFonts w:ascii="Book Antiqua" w:hAnsi="Book Antiqua" w:cstheme="minorHAnsi"/>
          <w:sz w:val="22"/>
          <w:szCs w:val="22"/>
        </w:rPr>
        <w:t xml:space="preserve">The current credit does not support new families or growing families, because babies and toddlers are </w:t>
      </w:r>
      <w:r>
        <w:rPr>
          <w:rFonts w:ascii="Book Antiqua" w:hAnsi="Book Antiqua" w:cstheme="minorHAnsi"/>
          <w:sz w:val="22"/>
          <w:szCs w:val="22"/>
        </w:rPr>
        <w:t xml:space="preserve">inexplicably </w:t>
      </w:r>
      <w:r w:rsidRPr="00A84A57">
        <w:rPr>
          <w:rFonts w:ascii="Book Antiqua" w:hAnsi="Book Antiqua" w:cstheme="minorHAnsi"/>
          <w:sz w:val="22"/>
          <w:szCs w:val="22"/>
        </w:rPr>
        <w:t>excluded from the credit.  It is estimated that 590,384 young children, from birth to less than age four, live in families whose income is low enough to qualify for this credit, but are excluded because they are too young.</w:t>
      </w:r>
      <w:r>
        <w:rPr>
          <w:rFonts w:ascii="Book Antiqua" w:hAnsi="Book Antiqua"/>
          <w:sz w:val="22"/>
          <w:szCs w:val="22"/>
        </w:rPr>
        <w:t xml:space="preserve"> It also excludes families in deep poverty who are likely in the </w:t>
      </w:r>
      <w:proofErr w:type="gramStart"/>
      <w:r>
        <w:rPr>
          <w:rFonts w:ascii="Book Antiqua" w:hAnsi="Book Antiqua"/>
          <w:sz w:val="22"/>
          <w:szCs w:val="22"/>
        </w:rPr>
        <w:t>most dire</w:t>
      </w:r>
      <w:proofErr w:type="gramEnd"/>
      <w:r>
        <w:rPr>
          <w:rFonts w:ascii="Book Antiqua" w:hAnsi="Book Antiqua"/>
          <w:sz w:val="22"/>
          <w:szCs w:val="22"/>
        </w:rPr>
        <w:t xml:space="preserve"> economic need.   </w:t>
      </w:r>
    </w:p>
    <w:p w14:paraId="42FB9CCC" w14:textId="77777777" w:rsidR="0079416A" w:rsidRPr="008915E5" w:rsidRDefault="0079416A" w:rsidP="0079416A">
      <w:pPr>
        <w:spacing w:after="0" w:line="240" w:lineRule="auto"/>
        <w:rPr>
          <w:rFonts w:ascii="Book Antiqua" w:eastAsia="Times New Roman" w:hAnsi="Book Antiqua" w:cstheme="minorHAnsi"/>
          <w:b/>
          <w:bCs/>
          <w:sz w:val="22"/>
          <w:szCs w:val="22"/>
        </w:rPr>
      </w:pPr>
      <w:r>
        <w:rPr>
          <w:rFonts w:ascii="Book Antiqua" w:eastAsia="Times New Roman" w:hAnsi="Book Antiqua" w:cstheme="minorHAnsi"/>
          <w:bCs/>
          <w:sz w:val="22"/>
          <w:szCs w:val="22"/>
        </w:rPr>
        <w:t>To address these shortcomings, New York should strengthen the Empire State Child Credit by</w:t>
      </w:r>
      <w:r w:rsidRPr="008915E5">
        <w:rPr>
          <w:rFonts w:ascii="Book Antiqua" w:eastAsia="Times New Roman" w:hAnsi="Book Antiqua" w:cstheme="minorHAnsi"/>
          <w:b/>
          <w:bCs/>
          <w:sz w:val="22"/>
          <w:szCs w:val="22"/>
        </w:rPr>
        <w:t xml:space="preserve"> removing the credit’s phase-in, establishing a $1,000 young child credit and expanding the existing credit to $500 for children 4 and older. </w:t>
      </w:r>
    </w:p>
    <w:p w14:paraId="49BB1DB8" w14:textId="77777777" w:rsidR="0079416A" w:rsidRDefault="0079416A" w:rsidP="000F1064">
      <w:pPr>
        <w:pStyle w:val="Subtitle"/>
        <w:spacing w:after="0"/>
        <w:rPr>
          <w:rFonts w:ascii="Book Antiqua" w:hAnsi="Book Antiqua" w:cs="Arial"/>
          <w:b/>
          <w:bCs/>
          <w:color w:val="EC7D30"/>
          <w:sz w:val="28"/>
          <w:szCs w:val="28"/>
        </w:rPr>
      </w:pPr>
    </w:p>
    <w:p w14:paraId="33CF2076" w14:textId="3012AB6B" w:rsidR="001600C6" w:rsidRDefault="001600C6" w:rsidP="008915E5">
      <w:pPr>
        <w:spacing w:after="0" w:line="240" w:lineRule="auto"/>
        <w:rPr>
          <w:rFonts w:ascii="Book Antiqua" w:eastAsiaTheme="majorEastAsia" w:hAnsi="Book Antiqua" w:cs="Arial"/>
          <w:b/>
          <w:bCs/>
          <w:color w:val="EC7D30"/>
          <w:sz w:val="28"/>
          <w:szCs w:val="28"/>
        </w:rPr>
      </w:pPr>
      <w:r w:rsidRPr="001600C6">
        <w:rPr>
          <w:rFonts w:ascii="Book Antiqua" w:eastAsiaTheme="majorEastAsia" w:hAnsi="Book Antiqua" w:cs="Arial"/>
          <w:b/>
          <w:bCs/>
          <w:color w:val="EC7D30"/>
          <w:sz w:val="28"/>
          <w:szCs w:val="28"/>
        </w:rPr>
        <w:t>Make the Earned Income Tax Credit (EITC) More Equitable and Inclusive</w:t>
      </w:r>
    </w:p>
    <w:p w14:paraId="28459EBB" w14:textId="114F8C89" w:rsidR="000F1064" w:rsidRDefault="000F1064" w:rsidP="008915E5">
      <w:pPr>
        <w:spacing w:after="0" w:line="240" w:lineRule="auto"/>
        <w:rPr>
          <w:rFonts w:ascii="Book Antiqua" w:hAnsi="Book Antiqua"/>
          <w:color w:val="000000"/>
          <w:sz w:val="22"/>
          <w:szCs w:val="22"/>
        </w:rPr>
      </w:pPr>
      <w:r w:rsidRPr="00A84A57">
        <w:rPr>
          <w:rFonts w:ascii="Book Antiqua" w:hAnsi="Book Antiqua"/>
          <w:sz w:val="22"/>
          <w:szCs w:val="22"/>
        </w:rPr>
        <w:t xml:space="preserve">The Earned Income Tax Credit (EITC) is an important and effective tool that reduces poverty, increases workforce participation, increases financial security, leads to better educational outcomes for children, and improves overall child and parent well-being.  New York currently provides a 30% match to whatever amount an individual receives from their federal tax return.  Along with SNAP, the EITC is the most widely used form of government support for low-income families in the state.  </w:t>
      </w:r>
    </w:p>
    <w:p w14:paraId="208D3853" w14:textId="77777777" w:rsidR="000F1064" w:rsidRDefault="000F1064" w:rsidP="008915E5">
      <w:pPr>
        <w:spacing w:after="0" w:line="240" w:lineRule="auto"/>
        <w:rPr>
          <w:rFonts w:ascii="Book Antiqua" w:hAnsi="Book Antiqua"/>
          <w:color w:val="000000"/>
          <w:sz w:val="22"/>
          <w:szCs w:val="22"/>
        </w:rPr>
      </w:pPr>
    </w:p>
    <w:p w14:paraId="44DAE22D" w14:textId="05FFDEF5" w:rsidR="00BA1DC8" w:rsidRPr="00270B70" w:rsidRDefault="000F1064" w:rsidP="008915E5">
      <w:pPr>
        <w:spacing w:after="0" w:line="240" w:lineRule="auto"/>
        <w:rPr>
          <w:rFonts w:ascii="Book Antiqua" w:hAnsi="Book Antiqua"/>
          <w:color w:val="000000"/>
          <w:sz w:val="22"/>
          <w:szCs w:val="22"/>
        </w:rPr>
      </w:pPr>
      <w:r>
        <w:rPr>
          <w:rFonts w:ascii="Book Antiqua" w:hAnsi="Book Antiqua"/>
          <w:color w:val="000000"/>
          <w:sz w:val="22"/>
          <w:szCs w:val="22"/>
        </w:rPr>
        <w:t xml:space="preserve">New York should </w:t>
      </w:r>
      <w:r w:rsidR="00BA1DC8">
        <w:rPr>
          <w:rFonts w:ascii="Book Antiqua" w:hAnsi="Book Antiqua"/>
          <w:b/>
          <w:bCs/>
          <w:color w:val="000000"/>
          <w:sz w:val="22"/>
          <w:szCs w:val="22"/>
        </w:rPr>
        <w:t>modernize the EITC to be more consistent with our state’s higher minimum wage</w:t>
      </w:r>
      <w:r w:rsidR="00270B70">
        <w:rPr>
          <w:rFonts w:ascii="Book Antiqua" w:hAnsi="Book Antiqua"/>
          <w:color w:val="000000"/>
          <w:sz w:val="22"/>
          <w:szCs w:val="22"/>
        </w:rPr>
        <w:t>, which will provide a needed economic boost to our state’s struggling workers</w:t>
      </w:r>
      <w:r w:rsidR="00881D91">
        <w:rPr>
          <w:rFonts w:ascii="Book Antiqua" w:hAnsi="Book Antiqua"/>
          <w:color w:val="000000"/>
          <w:sz w:val="22"/>
          <w:szCs w:val="22"/>
        </w:rPr>
        <w:t>, helping them close holes in their household budgets</w:t>
      </w:r>
      <w:r w:rsidR="00846C5D">
        <w:rPr>
          <w:rFonts w:ascii="Book Antiqua" w:hAnsi="Book Antiqua"/>
          <w:color w:val="000000"/>
          <w:sz w:val="22"/>
          <w:szCs w:val="22"/>
        </w:rPr>
        <w:t xml:space="preserve"> while also boosting local economies</w:t>
      </w:r>
      <w:r w:rsidR="00270B70">
        <w:rPr>
          <w:rFonts w:ascii="Book Antiqua" w:hAnsi="Book Antiqua"/>
          <w:color w:val="000000"/>
          <w:sz w:val="22"/>
          <w:szCs w:val="22"/>
        </w:rPr>
        <w:t>.</w:t>
      </w:r>
    </w:p>
    <w:p w14:paraId="1B3E64A9" w14:textId="43A85B2C" w:rsidR="000179B2" w:rsidRDefault="000179B2" w:rsidP="008915E5">
      <w:pPr>
        <w:spacing w:after="0" w:line="240" w:lineRule="auto"/>
        <w:rPr>
          <w:rFonts w:ascii="Book Antiqua" w:hAnsi="Book Antiqua"/>
          <w:b/>
          <w:bCs/>
          <w:sz w:val="22"/>
          <w:szCs w:val="22"/>
        </w:rPr>
      </w:pPr>
    </w:p>
    <w:p w14:paraId="20953087" w14:textId="766D30E3" w:rsidR="000179B2" w:rsidRPr="008915E5" w:rsidRDefault="00D92CFC" w:rsidP="000179B2">
      <w:pPr>
        <w:spacing w:after="0" w:line="240" w:lineRule="auto"/>
        <w:rPr>
          <w:rFonts w:ascii="Book Antiqua" w:hAnsi="Book Antiqua"/>
          <w:color w:val="000000"/>
          <w:sz w:val="22"/>
          <w:szCs w:val="22"/>
        </w:rPr>
      </w:pPr>
      <w:r>
        <w:rPr>
          <w:rFonts w:ascii="Book Antiqua" w:hAnsi="Book Antiqua"/>
          <w:b/>
          <w:color w:val="000000"/>
          <w:sz w:val="22"/>
          <w:szCs w:val="22"/>
        </w:rPr>
        <w:t xml:space="preserve">Allow the EITC to be </w:t>
      </w:r>
      <w:r w:rsidR="001600C6">
        <w:rPr>
          <w:rFonts w:ascii="Book Antiqua" w:hAnsi="Book Antiqua"/>
          <w:b/>
          <w:color w:val="000000"/>
          <w:sz w:val="22"/>
          <w:szCs w:val="22"/>
        </w:rPr>
        <w:t>c</w:t>
      </w:r>
      <w:r>
        <w:rPr>
          <w:rFonts w:ascii="Book Antiqua" w:hAnsi="Book Antiqua"/>
          <w:b/>
          <w:color w:val="000000"/>
          <w:sz w:val="22"/>
          <w:szCs w:val="22"/>
        </w:rPr>
        <w:t>laimed by</w:t>
      </w:r>
      <w:r w:rsidR="000179B2" w:rsidRPr="008915E5">
        <w:rPr>
          <w:rFonts w:ascii="Book Antiqua" w:hAnsi="Book Antiqua"/>
          <w:b/>
          <w:color w:val="000000"/>
          <w:sz w:val="22"/>
          <w:szCs w:val="22"/>
        </w:rPr>
        <w:t xml:space="preserve"> immigrant</w:t>
      </w:r>
      <w:r>
        <w:rPr>
          <w:rFonts w:ascii="Book Antiqua" w:hAnsi="Book Antiqua"/>
          <w:b/>
          <w:color w:val="000000"/>
          <w:sz w:val="22"/>
          <w:szCs w:val="22"/>
        </w:rPr>
        <w:t xml:space="preserve">s </w:t>
      </w:r>
      <w:r w:rsidR="00846C5D">
        <w:rPr>
          <w:rFonts w:ascii="Book Antiqua" w:hAnsi="Book Antiqua"/>
          <w:b/>
          <w:bCs/>
          <w:color w:val="000000"/>
          <w:sz w:val="22"/>
          <w:szCs w:val="22"/>
        </w:rPr>
        <w:t xml:space="preserve">and young childless workers. </w:t>
      </w:r>
      <w:r w:rsidR="000179B2" w:rsidRPr="008915E5">
        <w:rPr>
          <w:rFonts w:ascii="Book Antiqua" w:hAnsi="Book Antiqua"/>
          <w:color w:val="000000"/>
          <w:sz w:val="22"/>
          <w:szCs w:val="22"/>
        </w:rPr>
        <w:t xml:space="preserve">Doing so will </w:t>
      </w:r>
      <w:r>
        <w:rPr>
          <w:rFonts w:ascii="Book Antiqua" w:hAnsi="Book Antiqua"/>
          <w:color w:val="000000"/>
          <w:sz w:val="22"/>
          <w:szCs w:val="22"/>
        </w:rPr>
        <w:t>make New York’s tax policy more equitable</w:t>
      </w:r>
      <w:r w:rsidR="007C4CAF">
        <w:rPr>
          <w:rFonts w:ascii="Book Antiqua" w:hAnsi="Book Antiqua"/>
          <w:color w:val="000000"/>
          <w:sz w:val="22"/>
          <w:szCs w:val="22"/>
        </w:rPr>
        <w:t xml:space="preserve"> </w:t>
      </w:r>
      <w:r w:rsidR="00165D72">
        <w:rPr>
          <w:rFonts w:ascii="Book Antiqua" w:hAnsi="Book Antiqua"/>
          <w:color w:val="000000"/>
          <w:sz w:val="22"/>
          <w:szCs w:val="22"/>
        </w:rPr>
        <w:t>by providing the benefit to all eligible workers.</w:t>
      </w:r>
    </w:p>
    <w:p w14:paraId="4664A8C7" w14:textId="77777777" w:rsidR="000179B2" w:rsidRDefault="000179B2">
      <w:pPr>
        <w:rPr>
          <w:rFonts w:ascii="Book Antiqua" w:eastAsiaTheme="majorEastAsia" w:hAnsi="Book Antiqua" w:cs="Arial"/>
          <w:b/>
          <w:bCs/>
          <w:color w:val="EC7D30"/>
          <w:sz w:val="28"/>
          <w:szCs w:val="28"/>
        </w:rPr>
      </w:pPr>
      <w:r>
        <w:rPr>
          <w:rFonts w:ascii="Book Antiqua" w:eastAsiaTheme="majorEastAsia" w:hAnsi="Book Antiqua" w:cs="Arial"/>
          <w:b/>
          <w:bCs/>
          <w:color w:val="EC7D30"/>
          <w:sz w:val="28"/>
          <w:szCs w:val="28"/>
        </w:rPr>
        <w:br w:type="page"/>
      </w:r>
    </w:p>
    <w:p w14:paraId="197890C0" w14:textId="1F7E2BD7" w:rsidR="00B4563B" w:rsidRDefault="00B4563B" w:rsidP="008915E5">
      <w:pPr>
        <w:spacing w:after="0" w:line="240" w:lineRule="auto"/>
        <w:rPr>
          <w:rFonts w:ascii="Book Antiqua" w:eastAsiaTheme="majorEastAsia" w:hAnsi="Book Antiqua" w:cs="Arial"/>
          <w:b/>
          <w:bCs/>
          <w:color w:val="EC7D30"/>
          <w:sz w:val="28"/>
          <w:szCs w:val="28"/>
        </w:rPr>
      </w:pPr>
      <w:r>
        <w:rPr>
          <w:rFonts w:ascii="Book Antiqua" w:eastAsiaTheme="majorEastAsia" w:hAnsi="Book Antiqua" w:cs="Arial"/>
          <w:b/>
          <w:bCs/>
          <w:color w:val="EC7D30"/>
          <w:sz w:val="28"/>
          <w:szCs w:val="28"/>
        </w:rPr>
        <w:lastRenderedPageBreak/>
        <w:t>Improve the Structure of Working Family Tax Credits</w:t>
      </w:r>
    </w:p>
    <w:p w14:paraId="43AE839E" w14:textId="3B286D9C" w:rsidR="0072392D" w:rsidRPr="00A84A57" w:rsidRDefault="0072392D" w:rsidP="008915E5">
      <w:pPr>
        <w:spacing w:after="0" w:line="240" w:lineRule="auto"/>
        <w:rPr>
          <w:rFonts w:ascii="Book Antiqua" w:hAnsi="Book Antiqua"/>
          <w:color w:val="000000"/>
          <w:sz w:val="22"/>
          <w:szCs w:val="22"/>
        </w:rPr>
      </w:pPr>
    </w:p>
    <w:p w14:paraId="5F5CDCB5" w14:textId="44FD0265" w:rsidR="00B4563B" w:rsidRDefault="00B4563B" w:rsidP="00A84A57">
      <w:pPr>
        <w:spacing w:after="0" w:line="240" w:lineRule="auto"/>
        <w:rPr>
          <w:rFonts w:ascii="Book Antiqua" w:hAnsi="Book Antiqua"/>
          <w:color w:val="000000"/>
          <w:sz w:val="22"/>
          <w:szCs w:val="22"/>
        </w:rPr>
      </w:pPr>
      <w:r>
        <w:rPr>
          <w:rFonts w:ascii="Book Antiqua" w:hAnsi="Book Antiqua"/>
          <w:color w:val="000000"/>
          <w:sz w:val="22"/>
          <w:szCs w:val="22"/>
        </w:rPr>
        <w:t xml:space="preserve">In addition to expanding and strengthening the EITC and Empire State Child Credit, New York State should implement </w:t>
      </w:r>
      <w:r w:rsidR="000C1547">
        <w:rPr>
          <w:rFonts w:ascii="Book Antiqua" w:hAnsi="Book Antiqua"/>
          <w:color w:val="000000"/>
          <w:sz w:val="22"/>
          <w:szCs w:val="22"/>
        </w:rPr>
        <w:t>an additional reform</w:t>
      </w:r>
      <w:r>
        <w:rPr>
          <w:rFonts w:ascii="Book Antiqua" w:hAnsi="Book Antiqua"/>
          <w:color w:val="000000"/>
          <w:sz w:val="22"/>
          <w:szCs w:val="22"/>
        </w:rPr>
        <w:t xml:space="preserve"> that will make a real difference in the lives of struggling families.</w:t>
      </w:r>
    </w:p>
    <w:p w14:paraId="79CE6B92" w14:textId="77777777" w:rsidR="00B4563B" w:rsidRDefault="00B4563B" w:rsidP="00A84A57">
      <w:pPr>
        <w:spacing w:after="0" w:line="240" w:lineRule="auto"/>
        <w:rPr>
          <w:rFonts w:ascii="Book Antiqua" w:hAnsi="Book Antiqua"/>
          <w:color w:val="000000"/>
          <w:sz w:val="22"/>
          <w:szCs w:val="22"/>
        </w:rPr>
      </w:pPr>
    </w:p>
    <w:p w14:paraId="18FC116D" w14:textId="75E057FC" w:rsidR="00897411" w:rsidRPr="008915E5" w:rsidRDefault="00B4563B" w:rsidP="008915E5">
      <w:pPr>
        <w:spacing w:after="0" w:line="240" w:lineRule="auto"/>
        <w:rPr>
          <w:rFonts w:ascii="Book Antiqua" w:hAnsi="Book Antiqua"/>
          <w:color w:val="000000"/>
          <w:sz w:val="22"/>
          <w:szCs w:val="22"/>
        </w:rPr>
      </w:pPr>
      <w:r w:rsidRPr="008915E5">
        <w:rPr>
          <w:rFonts w:ascii="Book Antiqua" w:hAnsi="Book Antiqua"/>
          <w:color w:val="000000"/>
          <w:sz w:val="22"/>
          <w:szCs w:val="22"/>
        </w:rPr>
        <w:t>Allow families with dependent children to r</w:t>
      </w:r>
      <w:r w:rsidRPr="008915E5">
        <w:rPr>
          <w:rFonts w:ascii="Book Antiqua" w:hAnsi="Book Antiqua"/>
          <w:b/>
          <w:color w:val="000000"/>
          <w:sz w:val="22"/>
          <w:szCs w:val="22"/>
        </w:rPr>
        <w:t>eceive a portion of their EITC and Empire State Child Credit in quarterly advance payments</w:t>
      </w:r>
      <w:r w:rsidRPr="008915E5">
        <w:rPr>
          <w:rFonts w:ascii="Book Antiqua" w:hAnsi="Book Antiqua"/>
          <w:color w:val="000000"/>
          <w:sz w:val="22"/>
          <w:szCs w:val="22"/>
        </w:rPr>
        <w:t xml:space="preserve"> throughout the year. Giving families this option will smooth a family’s income throughout the year, helping them with budgeting and unexpected expenses. </w:t>
      </w:r>
    </w:p>
    <w:p w14:paraId="38379549" w14:textId="77777777" w:rsidR="00B4563B" w:rsidRPr="00A84A57" w:rsidRDefault="00B4563B" w:rsidP="00A84A57">
      <w:pPr>
        <w:spacing w:after="0" w:line="240" w:lineRule="auto"/>
        <w:rPr>
          <w:rFonts w:ascii="Book Antiqua" w:hAnsi="Book Antiqua"/>
          <w:color w:val="000000"/>
          <w:sz w:val="22"/>
          <w:szCs w:val="22"/>
        </w:rPr>
      </w:pPr>
    </w:p>
    <w:p w14:paraId="73FAF98E" w14:textId="77777777" w:rsidR="00A84A57" w:rsidRDefault="00A84A57" w:rsidP="00A84A57">
      <w:pPr>
        <w:pStyle w:val="NormalWeb"/>
        <w:spacing w:before="0" w:beforeAutospacing="0" w:after="0" w:afterAutospacing="0" w:line="240" w:lineRule="auto"/>
        <w:rPr>
          <w:rFonts w:ascii="Book Antiqua" w:hAnsi="Book Antiqua"/>
          <w:sz w:val="22"/>
          <w:szCs w:val="22"/>
        </w:rPr>
      </w:pPr>
    </w:p>
    <w:p w14:paraId="639C224E" w14:textId="24465F78" w:rsidR="00DD4A58" w:rsidRPr="00A84A57" w:rsidRDefault="00DD4A58" w:rsidP="00A84A57">
      <w:pPr>
        <w:pStyle w:val="NormalWeb"/>
        <w:spacing w:before="0" w:beforeAutospacing="0" w:after="0" w:afterAutospacing="0" w:line="240" w:lineRule="auto"/>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w:t>
      </w:r>
      <w:r w:rsidR="00165D72">
        <w:rPr>
          <w:rFonts w:ascii="Book Antiqua" w:hAnsi="Book Antiqua"/>
          <w:sz w:val="22"/>
          <w:szCs w:val="22"/>
        </w:rPr>
        <w:t>January 2020</w:t>
      </w:r>
      <w:r>
        <w:rPr>
          <w:rFonts w:ascii="Book Antiqua" w:hAnsi="Book Antiqua"/>
          <w:sz w:val="22"/>
          <w:szCs w:val="22"/>
        </w:rPr>
        <w:t>)</w:t>
      </w:r>
    </w:p>
    <w:sectPr w:rsidR="00DD4A58" w:rsidRPr="00A84A57" w:rsidSect="00D827F4">
      <w:endnotePr>
        <w:numFmt w:val="decimal"/>
      </w:endnotePr>
      <w:pgSz w:w="12240" w:h="15840"/>
      <w:pgMar w:top="1008" w:right="1152" w:bottom="720" w:left="1152" w:header="720" w:footer="720" w:gutter="0"/>
      <w:pgBorders w:offsetFrom="page">
        <w:top w:val="single" w:sz="4" w:space="24" w:color="297FD5"/>
        <w:left w:val="single" w:sz="4" w:space="24" w:color="297FD5"/>
        <w:bottom w:val="single" w:sz="4" w:space="24" w:color="297FD5"/>
        <w:right w:val="single" w:sz="4" w:space="24" w:color="297FD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F548" w14:textId="77777777" w:rsidR="006115BA" w:rsidRDefault="006115BA" w:rsidP="00CA7FDC">
      <w:pPr>
        <w:spacing w:after="0" w:line="240" w:lineRule="auto"/>
      </w:pPr>
      <w:r>
        <w:separator/>
      </w:r>
    </w:p>
  </w:endnote>
  <w:endnote w:type="continuationSeparator" w:id="0">
    <w:p w14:paraId="48CF3CF4" w14:textId="77777777" w:rsidR="006115BA" w:rsidRDefault="006115BA" w:rsidP="00CA7FDC">
      <w:pPr>
        <w:spacing w:after="0" w:line="240" w:lineRule="auto"/>
      </w:pPr>
      <w:r>
        <w:continuationSeparator/>
      </w:r>
    </w:p>
  </w:endnote>
  <w:endnote w:id="1">
    <w:p w14:paraId="0A5F8A88" w14:textId="3DABC4DA" w:rsidR="00662A39" w:rsidRDefault="00662A39" w:rsidP="00662A39">
      <w:pPr>
        <w:pStyle w:val="EndnoteText"/>
        <w:spacing w:after="0"/>
      </w:pPr>
      <w:r w:rsidRPr="00313325">
        <w:rPr>
          <w:rStyle w:val="EndnoteReference"/>
        </w:rPr>
        <w:endnoteRef/>
      </w:r>
      <w:r w:rsidRPr="00313325">
        <w:t xml:space="preserve"> See </w:t>
      </w:r>
      <w:r w:rsidR="00FE1C09">
        <w:t xml:space="preserve">Dylan Matthews, </w:t>
      </w:r>
      <w:r w:rsidR="008C19D0">
        <w:t xml:space="preserve">Senate Democrats have coalesced around a big plan to expand tax credits.  </w:t>
      </w:r>
      <w:r w:rsidR="008C19D0" w:rsidRPr="008C19D0">
        <w:rPr>
          <w:i/>
        </w:rPr>
        <w:t>Vox</w:t>
      </w:r>
      <w:r w:rsidR="008C19D0">
        <w:t xml:space="preserve">. (April 10, 2019). </w:t>
      </w:r>
      <w:hyperlink r:id="rId1" w:history="1">
        <w:r w:rsidRPr="00313325">
          <w:rPr>
            <w:rStyle w:val="Hyperlink"/>
          </w:rPr>
          <w:t>https://www.vox.com/future-perfect/2019/4/10/18302183/tax-cut-democrats-earned-income-tax-credit-child-allowance</w:t>
        </w:r>
      </w:hyperlink>
    </w:p>
  </w:endnote>
  <w:endnote w:id="2">
    <w:p w14:paraId="262862BD" w14:textId="77777777" w:rsidR="00DE7004" w:rsidRPr="00313325" w:rsidRDefault="00DE7004" w:rsidP="00DE7004">
      <w:pPr>
        <w:pStyle w:val="EndnoteText"/>
        <w:spacing w:after="0"/>
      </w:pPr>
      <w:r>
        <w:rPr>
          <w:rStyle w:val="EndnoteReference"/>
        </w:rPr>
        <w:endnoteRef/>
      </w:r>
      <w:r w:rsidRPr="00313325">
        <w:rPr>
          <w:rFonts w:cs="Arial"/>
          <w:color w:val="000000"/>
          <w:shd w:val="clear" w:color="auto" w:fill="FFFFFF"/>
        </w:rPr>
        <w:t xml:space="preserve">See The State of New York’s Children: Data Book.  Schuyler Center for Analysis and Advocacy.  January 2019.  </w:t>
      </w:r>
      <w:hyperlink r:id="rId2" w:history="1">
        <w:r w:rsidRPr="00313325">
          <w:rPr>
            <w:rStyle w:val="Hyperlink"/>
          </w:rPr>
          <w:t>https://www.scaany.org/wp-content/uploads/2019/01/State-of-NY-Children-Data-Book-2019.pdf</w:t>
        </w:r>
      </w:hyperlink>
      <w:r w:rsidRPr="00313325">
        <w:rPr>
          <w:rStyle w:val="Hyperlink"/>
          <w:rFonts w:cs="Arial"/>
          <w:shd w:val="clear" w:color="auto" w:fill="FFFFFF"/>
        </w:rPr>
        <w:t xml:space="preserve"> </w:t>
      </w:r>
    </w:p>
  </w:endnote>
  <w:endnote w:id="3">
    <w:p w14:paraId="7660C3A6" w14:textId="77777777" w:rsidR="00DE7004" w:rsidRPr="00313325" w:rsidRDefault="00DE7004" w:rsidP="00DE7004">
      <w:pPr>
        <w:pStyle w:val="EndnoteText"/>
        <w:spacing w:after="0"/>
      </w:pPr>
      <w:r w:rsidRPr="00313325">
        <w:rPr>
          <w:rStyle w:val="EndnoteReference"/>
        </w:rPr>
        <w:endnoteRef/>
      </w:r>
      <w:r w:rsidRPr="00313325">
        <w:rPr>
          <w:rFonts w:eastAsia="Quattrocento" w:cs="Quattrocento"/>
        </w:rPr>
        <w:t xml:space="preserve">U.S. Census Bureau. (2017). </w:t>
      </w:r>
      <w:r w:rsidRPr="00313325">
        <w:rPr>
          <w:rFonts w:eastAsia="Quattrocento" w:cs="Quattrocento"/>
          <w:bCs/>
        </w:rPr>
        <w:t xml:space="preserve">Children characteristics:  2012-2017 American Community Survey 5-Year Estimates. </w:t>
      </w:r>
      <w:hyperlink r:id="rId3" w:history="1">
        <w:r w:rsidRPr="00313325">
          <w:rPr>
            <w:rStyle w:val="Hyperlink"/>
            <w:rFonts w:eastAsia="Quattrocento" w:cs="Quattrocento"/>
            <w:bCs/>
          </w:rPr>
          <w:t>https://factfinder.census.gov/faces/tableservices/jsf/pages/productview.xhtml?src=CF</w:t>
        </w:r>
      </w:hyperlink>
      <w:r w:rsidRPr="00313325">
        <w:rPr>
          <w:rStyle w:val="Hyperlink"/>
          <w:rFonts w:eastAsia="Quattrocento" w:cs="Quattrocento"/>
          <w:bCs/>
        </w:rPr>
        <w:t xml:space="preserve">. </w:t>
      </w:r>
      <w:r w:rsidRPr="00313325">
        <w:rPr>
          <w:rFonts w:cs="Times New Roman"/>
        </w:rPr>
        <w:t>(Buffalo - 47.2%, Rochester - 51.9%, Syracuse - 46.7%)</w:t>
      </w:r>
    </w:p>
  </w:endnote>
  <w:endnote w:id="4">
    <w:p w14:paraId="793EB315" w14:textId="77777777" w:rsidR="00DE7004" w:rsidRPr="00313325" w:rsidRDefault="00DE7004" w:rsidP="00DE7004">
      <w:pPr>
        <w:pStyle w:val="EndnoteText"/>
        <w:spacing w:after="0"/>
      </w:pPr>
      <w:r w:rsidRPr="00313325">
        <w:rPr>
          <w:rStyle w:val="EndnoteReference"/>
        </w:rPr>
        <w:endnoteRef/>
      </w:r>
      <w:r w:rsidRPr="00313325">
        <w:rPr>
          <w:rFonts w:cs="Arial"/>
          <w:color w:val="000000"/>
          <w:shd w:val="clear" w:color="auto" w:fill="FFFFFF"/>
        </w:rPr>
        <w:t xml:space="preserve">See The State of New York’s Children: Data Book.  Schuyler Center for Analysis and Advocacy.  January 2019.  </w:t>
      </w:r>
      <w:hyperlink r:id="rId4" w:history="1">
        <w:r w:rsidRPr="00313325">
          <w:rPr>
            <w:rStyle w:val="Hyperlink"/>
          </w:rPr>
          <w:t>https://www.scaany.org/wp-content/uploads/2019/01/State-of-NY-Children-Data-Book-2019.pdf</w:t>
        </w:r>
      </w:hyperlink>
      <w:r w:rsidRPr="00313325">
        <w:rPr>
          <w:rStyle w:val="Hyperlink"/>
          <w:rFonts w:cs="Arial"/>
          <w:shd w:val="clear" w:color="auto" w:fill="FFFFFF"/>
        </w:rPr>
        <w:t xml:space="preserve"> </w:t>
      </w:r>
    </w:p>
  </w:endnote>
  <w:endnote w:id="5">
    <w:p w14:paraId="795DDBDC" w14:textId="77777777" w:rsidR="00B4563B" w:rsidRPr="00313325" w:rsidRDefault="00B4563B" w:rsidP="00B4563B">
      <w:pPr>
        <w:pStyle w:val="EndnoteText"/>
        <w:spacing w:after="0"/>
      </w:pPr>
      <w:r w:rsidRPr="00313325">
        <w:rPr>
          <w:rStyle w:val="EndnoteReference"/>
        </w:rPr>
        <w:endnoteRef/>
      </w:r>
      <w:r w:rsidRPr="00313325">
        <w:t xml:space="preserve">Andy Kierscz, Every US State Economy Ranked from Best to Worst. </w:t>
      </w:r>
      <w:r w:rsidRPr="00313325">
        <w:rPr>
          <w:i/>
        </w:rPr>
        <w:t>Business Insider</w:t>
      </w:r>
      <w:r w:rsidRPr="00313325">
        <w:t xml:space="preserve">. (March 15, 2018). </w:t>
      </w:r>
      <w:hyperlink r:id="rId5" w:history="1">
        <w:r w:rsidRPr="00313325">
          <w:rPr>
            <w:rStyle w:val="Hyperlink"/>
            <w:rFonts w:cs="Arial"/>
          </w:rPr>
          <w:t>https://www.businessinsider.com/state-economy-ranking-q1-2018-2</w:t>
        </w:r>
      </w:hyperlink>
      <w:r w:rsidRPr="00313325">
        <w:rPr>
          <w:rFonts w:cs="Arial"/>
        </w:rPr>
        <w:t>;</w:t>
      </w:r>
    </w:p>
  </w:endnote>
  <w:endnote w:id="6">
    <w:p w14:paraId="20C8766B" w14:textId="77777777" w:rsidR="00B4563B" w:rsidRPr="00313325" w:rsidRDefault="00B4563B" w:rsidP="00B4563B">
      <w:pPr>
        <w:pStyle w:val="EndnoteText"/>
        <w:spacing w:after="0"/>
      </w:pPr>
      <w:r w:rsidRPr="00313325">
        <w:rPr>
          <w:rStyle w:val="EndnoteReference"/>
        </w:rPr>
        <w:endnoteRef/>
      </w:r>
      <w:r w:rsidRPr="00313325">
        <w:t xml:space="preserve"> Kids Count Data Center: A Project of the The Annie E. Casey Foundation. New York: Kids Count Overall Rank, and Kids Count Economic Well-Being Rank. (2018). </w:t>
      </w:r>
      <w:hyperlink r:id="rId6" w:anchor="detailed/2/34/false/37/any/19338" w:history="1">
        <w:r w:rsidRPr="00313325">
          <w:rPr>
            <w:rStyle w:val="Hyperlink"/>
          </w:rPr>
          <w:t>https://datacenter.kidscount.org/data/tables/9981-kids-count-overall-rank?loc=34&amp;loct=2#detailed/2/34/false/37/any/19338</w:t>
        </w:r>
      </w:hyperlink>
      <w:r w:rsidRPr="00313325">
        <w:rPr>
          <w:u w:val="single"/>
        </w:rPr>
        <w:t xml:space="preserve">; </w:t>
      </w:r>
      <w:hyperlink r:id="rId7" w:anchor="detailed/2/34/false/37,871,870,573,869,36,868/any/14340" w:history="1">
        <w:r w:rsidRPr="00313325">
          <w:rPr>
            <w:rStyle w:val="Hyperlink"/>
          </w:rPr>
          <w:t>https://datacenter.kidscount.org/data/tables/7246-economic-well-being-rank?loc=34&amp;loct=2#detailed/2/34/false/37,871,870,573,869,36,868/any/14340</w:t>
        </w:r>
      </w:hyperlink>
      <w:r w:rsidRPr="00313325">
        <w:rPr>
          <w:u w:val="single"/>
        </w:rPr>
        <w:t xml:space="preserve"> </w:t>
      </w:r>
    </w:p>
  </w:endnote>
  <w:endnote w:id="7">
    <w:p w14:paraId="41325DC3" w14:textId="08FA3F42" w:rsidR="00FE1C09" w:rsidRDefault="00FE1C09">
      <w:pPr>
        <w:pStyle w:val="EndnoteText"/>
      </w:pPr>
      <w:r>
        <w:rPr>
          <w:rStyle w:val="EndnoteReference"/>
        </w:rPr>
        <w:endnoteRef/>
      </w:r>
      <w:r>
        <w:t xml:space="preserve"> </w:t>
      </w:r>
      <w:r w:rsidRPr="00313325">
        <w:t xml:space="preserve">Kids Count Data Center: A Project of the The Annie E. Casey Foundation. New York: </w:t>
      </w:r>
      <w:r>
        <w:t>Persons 18 to 24 in poverty</w:t>
      </w:r>
      <w:r w:rsidRPr="00313325">
        <w:t>. (2018).</w:t>
      </w:r>
      <w:r>
        <w:t xml:space="preserve"> </w:t>
      </w:r>
      <w:hyperlink r:id="rId8" w:anchor="detailed/2/34/false/37,871,870,573,869,36,868,867,133,38/any/337,338" w:history="1">
        <w:r>
          <w:rPr>
            <w:rStyle w:val="Hyperlink"/>
          </w:rPr>
          <w:t>https://datacenter.kidscount.org/data/tables/51-persons-18-to-24-in-poverty?loc=1&amp;loct=1#detailed/2/34/false/37,871,870,573,869,36,868,867,133,38/any/337,338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00"/>
    <w:family w:val="auto"/>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altName w:val="Cambria"/>
    <w:charset w:val="00"/>
    <w:family w:val="auto"/>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112E" w14:textId="77777777" w:rsidR="006115BA" w:rsidRDefault="006115BA" w:rsidP="00CA7FDC">
      <w:pPr>
        <w:spacing w:after="0" w:line="240" w:lineRule="auto"/>
      </w:pPr>
      <w:r>
        <w:separator/>
      </w:r>
    </w:p>
  </w:footnote>
  <w:footnote w:type="continuationSeparator" w:id="0">
    <w:p w14:paraId="79692B7F" w14:textId="77777777" w:rsidR="006115BA" w:rsidRDefault="006115BA" w:rsidP="00CA7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FE2"/>
    <w:multiLevelType w:val="hybridMultilevel"/>
    <w:tmpl w:val="3D7E850C"/>
    <w:lvl w:ilvl="0" w:tplc="9D9CD260">
      <w:start w:val="1"/>
      <w:numFmt w:val="bullet"/>
      <w:lvlText w:val=""/>
      <w:lvlJc w:val="left"/>
      <w:pPr>
        <w:tabs>
          <w:tab w:val="num" w:pos="720"/>
        </w:tabs>
        <w:ind w:left="720" w:hanging="360"/>
      </w:pPr>
      <w:rPr>
        <w:rFonts w:ascii="Wingdings" w:hAnsi="Wingdings" w:hint="default"/>
      </w:rPr>
    </w:lvl>
    <w:lvl w:ilvl="1" w:tplc="508677B0">
      <w:start w:val="185"/>
      <w:numFmt w:val="bullet"/>
      <w:lvlText w:val=""/>
      <w:lvlJc w:val="left"/>
      <w:pPr>
        <w:tabs>
          <w:tab w:val="num" w:pos="1440"/>
        </w:tabs>
        <w:ind w:left="1440" w:hanging="360"/>
      </w:pPr>
      <w:rPr>
        <w:rFonts w:ascii="Wingdings" w:hAnsi="Wingdings" w:hint="default"/>
      </w:rPr>
    </w:lvl>
    <w:lvl w:ilvl="2" w:tplc="2BA8335C" w:tentative="1">
      <w:start w:val="1"/>
      <w:numFmt w:val="bullet"/>
      <w:lvlText w:val=""/>
      <w:lvlJc w:val="left"/>
      <w:pPr>
        <w:tabs>
          <w:tab w:val="num" w:pos="2160"/>
        </w:tabs>
        <w:ind w:left="2160" w:hanging="360"/>
      </w:pPr>
      <w:rPr>
        <w:rFonts w:ascii="Wingdings" w:hAnsi="Wingdings" w:hint="default"/>
      </w:rPr>
    </w:lvl>
    <w:lvl w:ilvl="3" w:tplc="B18A895A" w:tentative="1">
      <w:start w:val="1"/>
      <w:numFmt w:val="bullet"/>
      <w:lvlText w:val=""/>
      <w:lvlJc w:val="left"/>
      <w:pPr>
        <w:tabs>
          <w:tab w:val="num" w:pos="2880"/>
        </w:tabs>
        <w:ind w:left="2880" w:hanging="360"/>
      </w:pPr>
      <w:rPr>
        <w:rFonts w:ascii="Wingdings" w:hAnsi="Wingdings" w:hint="default"/>
      </w:rPr>
    </w:lvl>
    <w:lvl w:ilvl="4" w:tplc="BEC895C8" w:tentative="1">
      <w:start w:val="1"/>
      <w:numFmt w:val="bullet"/>
      <w:lvlText w:val=""/>
      <w:lvlJc w:val="left"/>
      <w:pPr>
        <w:tabs>
          <w:tab w:val="num" w:pos="3600"/>
        </w:tabs>
        <w:ind w:left="3600" w:hanging="360"/>
      </w:pPr>
      <w:rPr>
        <w:rFonts w:ascii="Wingdings" w:hAnsi="Wingdings" w:hint="default"/>
      </w:rPr>
    </w:lvl>
    <w:lvl w:ilvl="5" w:tplc="BC0E1164" w:tentative="1">
      <w:start w:val="1"/>
      <w:numFmt w:val="bullet"/>
      <w:lvlText w:val=""/>
      <w:lvlJc w:val="left"/>
      <w:pPr>
        <w:tabs>
          <w:tab w:val="num" w:pos="4320"/>
        </w:tabs>
        <w:ind w:left="4320" w:hanging="360"/>
      </w:pPr>
      <w:rPr>
        <w:rFonts w:ascii="Wingdings" w:hAnsi="Wingdings" w:hint="default"/>
      </w:rPr>
    </w:lvl>
    <w:lvl w:ilvl="6" w:tplc="78E0AAC0" w:tentative="1">
      <w:start w:val="1"/>
      <w:numFmt w:val="bullet"/>
      <w:lvlText w:val=""/>
      <w:lvlJc w:val="left"/>
      <w:pPr>
        <w:tabs>
          <w:tab w:val="num" w:pos="5040"/>
        </w:tabs>
        <w:ind w:left="5040" w:hanging="360"/>
      </w:pPr>
      <w:rPr>
        <w:rFonts w:ascii="Wingdings" w:hAnsi="Wingdings" w:hint="default"/>
      </w:rPr>
    </w:lvl>
    <w:lvl w:ilvl="7" w:tplc="1C0A0A54" w:tentative="1">
      <w:start w:val="1"/>
      <w:numFmt w:val="bullet"/>
      <w:lvlText w:val=""/>
      <w:lvlJc w:val="left"/>
      <w:pPr>
        <w:tabs>
          <w:tab w:val="num" w:pos="5760"/>
        </w:tabs>
        <w:ind w:left="5760" w:hanging="360"/>
      </w:pPr>
      <w:rPr>
        <w:rFonts w:ascii="Wingdings" w:hAnsi="Wingdings" w:hint="default"/>
      </w:rPr>
    </w:lvl>
    <w:lvl w:ilvl="8" w:tplc="A63E0F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D6D68"/>
    <w:multiLevelType w:val="hybridMultilevel"/>
    <w:tmpl w:val="00BC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354B5"/>
    <w:multiLevelType w:val="hybridMultilevel"/>
    <w:tmpl w:val="E7D6A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F2594E"/>
    <w:multiLevelType w:val="hybridMultilevel"/>
    <w:tmpl w:val="AF30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62979"/>
    <w:multiLevelType w:val="hybridMultilevel"/>
    <w:tmpl w:val="7644AF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123D"/>
    <w:multiLevelType w:val="hybridMultilevel"/>
    <w:tmpl w:val="C2E2D5F8"/>
    <w:lvl w:ilvl="0" w:tplc="31747842">
      <w:start w:val="1"/>
      <w:numFmt w:val="bullet"/>
      <w:pStyle w:val="bullet"/>
      <w:lvlText w:val=""/>
      <w:lvlJc w:val="left"/>
      <w:pPr>
        <w:ind w:left="720" w:hanging="360"/>
      </w:pPr>
      <w:rPr>
        <w:rFonts w:ascii="Symbol" w:hAnsi="Symbol" w:hint="default"/>
      </w:rPr>
    </w:lvl>
    <w:lvl w:ilvl="1" w:tplc="0F7ED9C2">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02F3A"/>
    <w:multiLevelType w:val="hybridMultilevel"/>
    <w:tmpl w:val="A4ACDEF0"/>
    <w:lvl w:ilvl="0" w:tplc="20605F14">
      <w:start w:val="1"/>
      <w:numFmt w:val="bullet"/>
      <w:lvlText w:val=""/>
      <w:lvlJc w:val="left"/>
      <w:pPr>
        <w:ind w:left="720" w:hanging="360"/>
      </w:pPr>
      <w:rPr>
        <w:rFonts w:ascii="Symbol" w:hAnsi="Symbol" w:hint="default"/>
        <w:color w:val="297F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56037"/>
    <w:multiLevelType w:val="hybridMultilevel"/>
    <w:tmpl w:val="E954E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35CF3"/>
    <w:multiLevelType w:val="hybridMultilevel"/>
    <w:tmpl w:val="2670E3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91E37"/>
    <w:multiLevelType w:val="hybridMultilevel"/>
    <w:tmpl w:val="AB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4"/>
  </w:num>
  <w:num w:numId="5">
    <w:abstractNumId w:val="8"/>
  </w:num>
  <w:num w:numId="6">
    <w:abstractNumId w:val="9"/>
  </w:num>
  <w:num w:numId="7">
    <w:abstractNumId w:val="2"/>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EC"/>
    <w:rsid w:val="000179B2"/>
    <w:rsid w:val="00024B59"/>
    <w:rsid w:val="0003576C"/>
    <w:rsid w:val="0004782F"/>
    <w:rsid w:val="00064E45"/>
    <w:rsid w:val="000A7DD7"/>
    <w:rsid w:val="000B71F2"/>
    <w:rsid w:val="000C1547"/>
    <w:rsid w:val="000C3E87"/>
    <w:rsid w:val="000F1064"/>
    <w:rsid w:val="000F5241"/>
    <w:rsid w:val="0012345B"/>
    <w:rsid w:val="00157B06"/>
    <w:rsid w:val="001600C6"/>
    <w:rsid w:val="00165D72"/>
    <w:rsid w:val="001767C5"/>
    <w:rsid w:val="001C2683"/>
    <w:rsid w:val="001C56E8"/>
    <w:rsid w:val="001D2B4F"/>
    <w:rsid w:val="001F09DB"/>
    <w:rsid w:val="00201255"/>
    <w:rsid w:val="00206F32"/>
    <w:rsid w:val="002160ED"/>
    <w:rsid w:val="00220E3D"/>
    <w:rsid w:val="00244F29"/>
    <w:rsid w:val="00270B70"/>
    <w:rsid w:val="002B031B"/>
    <w:rsid w:val="002C4775"/>
    <w:rsid w:val="00306B36"/>
    <w:rsid w:val="00313325"/>
    <w:rsid w:val="00351FCD"/>
    <w:rsid w:val="003611BB"/>
    <w:rsid w:val="00362810"/>
    <w:rsid w:val="003D3AE0"/>
    <w:rsid w:val="003D5C93"/>
    <w:rsid w:val="003F4819"/>
    <w:rsid w:val="00451F02"/>
    <w:rsid w:val="00480E1A"/>
    <w:rsid w:val="0049198E"/>
    <w:rsid w:val="00495E45"/>
    <w:rsid w:val="00514830"/>
    <w:rsid w:val="005513D7"/>
    <w:rsid w:val="005A7EDE"/>
    <w:rsid w:val="005B211E"/>
    <w:rsid w:val="005F540B"/>
    <w:rsid w:val="006064B6"/>
    <w:rsid w:val="006115BA"/>
    <w:rsid w:val="00654532"/>
    <w:rsid w:val="00660832"/>
    <w:rsid w:val="00662A39"/>
    <w:rsid w:val="0069731C"/>
    <w:rsid w:val="006B51CD"/>
    <w:rsid w:val="0072392D"/>
    <w:rsid w:val="00767027"/>
    <w:rsid w:val="0076745F"/>
    <w:rsid w:val="0079416A"/>
    <w:rsid w:val="007C4CAF"/>
    <w:rsid w:val="007F0DA7"/>
    <w:rsid w:val="00803BBA"/>
    <w:rsid w:val="00833C96"/>
    <w:rsid w:val="00846C5D"/>
    <w:rsid w:val="00881D91"/>
    <w:rsid w:val="008915E5"/>
    <w:rsid w:val="00897411"/>
    <w:rsid w:val="008B6E8F"/>
    <w:rsid w:val="008C19D0"/>
    <w:rsid w:val="008C6C5B"/>
    <w:rsid w:val="008F67C7"/>
    <w:rsid w:val="00900D22"/>
    <w:rsid w:val="009574AA"/>
    <w:rsid w:val="009B00D1"/>
    <w:rsid w:val="009C06FD"/>
    <w:rsid w:val="009C3AD9"/>
    <w:rsid w:val="009E523A"/>
    <w:rsid w:val="009F1420"/>
    <w:rsid w:val="009F48EC"/>
    <w:rsid w:val="00A00834"/>
    <w:rsid w:val="00A17F44"/>
    <w:rsid w:val="00A32A50"/>
    <w:rsid w:val="00A40147"/>
    <w:rsid w:val="00A50EE9"/>
    <w:rsid w:val="00A520FB"/>
    <w:rsid w:val="00A55189"/>
    <w:rsid w:val="00A77502"/>
    <w:rsid w:val="00A84A57"/>
    <w:rsid w:val="00AE0791"/>
    <w:rsid w:val="00AE0EDE"/>
    <w:rsid w:val="00AE3782"/>
    <w:rsid w:val="00B114B5"/>
    <w:rsid w:val="00B333D6"/>
    <w:rsid w:val="00B4563B"/>
    <w:rsid w:val="00B65456"/>
    <w:rsid w:val="00BA1DC8"/>
    <w:rsid w:val="00BB4660"/>
    <w:rsid w:val="00C14546"/>
    <w:rsid w:val="00C2166F"/>
    <w:rsid w:val="00C457CF"/>
    <w:rsid w:val="00C84606"/>
    <w:rsid w:val="00C94E6F"/>
    <w:rsid w:val="00C95195"/>
    <w:rsid w:val="00CA4806"/>
    <w:rsid w:val="00CA7FDC"/>
    <w:rsid w:val="00CB62DD"/>
    <w:rsid w:val="00CF1A42"/>
    <w:rsid w:val="00D2767B"/>
    <w:rsid w:val="00D60670"/>
    <w:rsid w:val="00D63013"/>
    <w:rsid w:val="00D82163"/>
    <w:rsid w:val="00D827F4"/>
    <w:rsid w:val="00D92CFC"/>
    <w:rsid w:val="00DB7170"/>
    <w:rsid w:val="00DC0846"/>
    <w:rsid w:val="00DC4794"/>
    <w:rsid w:val="00DD4A58"/>
    <w:rsid w:val="00DE7004"/>
    <w:rsid w:val="00E17BB5"/>
    <w:rsid w:val="00E366A1"/>
    <w:rsid w:val="00E3735D"/>
    <w:rsid w:val="00E4711F"/>
    <w:rsid w:val="00E70AEF"/>
    <w:rsid w:val="00EC7165"/>
    <w:rsid w:val="00ED7AF9"/>
    <w:rsid w:val="00F22E46"/>
    <w:rsid w:val="00F24DC3"/>
    <w:rsid w:val="00F312AE"/>
    <w:rsid w:val="00F33E20"/>
    <w:rsid w:val="00FA6783"/>
    <w:rsid w:val="00FE1C09"/>
    <w:rsid w:val="3C978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3216"/>
  <w15:chartTrackingRefBased/>
  <w15:docId w15:val="{7F30D789-C422-41ED-B0AC-BC2F0D0B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text"/>
    <w:qFormat/>
    <w:rsid w:val="0049198E"/>
  </w:style>
  <w:style w:type="paragraph" w:styleId="Heading1">
    <w:name w:val="heading 1"/>
    <w:basedOn w:val="Normal"/>
    <w:next w:val="Normal"/>
    <w:link w:val="Heading1Char"/>
    <w:uiPriority w:val="9"/>
    <w:qFormat/>
    <w:rsid w:val="0049198E"/>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semiHidden/>
    <w:unhideWhenUsed/>
    <w:qFormat/>
    <w:rsid w:val="004919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4919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919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919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919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919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919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919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7B"/>
    <w:pPr>
      <w:jc w:val="both"/>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67B"/>
    <w:rPr>
      <w:rFonts w:ascii="Lucida Grande" w:eastAsiaTheme="minorEastAsia" w:hAnsi="Lucida Grande"/>
      <w:sz w:val="18"/>
      <w:szCs w:val="18"/>
    </w:rPr>
  </w:style>
  <w:style w:type="paragraph" w:customStyle="1" w:styleId="bullet">
    <w:name w:val="bullet"/>
    <w:basedOn w:val="Normal"/>
    <w:rsid w:val="00D2767B"/>
    <w:pPr>
      <w:numPr>
        <w:numId w:val="2"/>
      </w:numPr>
      <w:jc w:val="both"/>
    </w:pPr>
    <w:rPr>
      <w:rFonts w:ascii="Times New Roman" w:hAnsi="Times New Roman"/>
    </w:rPr>
  </w:style>
  <w:style w:type="paragraph" w:customStyle="1" w:styleId="ChapterSubheader">
    <w:name w:val="Chapter Subheader"/>
    <w:next w:val="Normal"/>
    <w:rsid w:val="00D2767B"/>
    <w:pPr>
      <w:spacing w:before="360" w:after="240" w:line="216" w:lineRule="auto"/>
    </w:pPr>
    <w:rPr>
      <w:rFonts w:ascii="Calibri" w:hAnsi="Calibri"/>
      <w:b/>
      <w:bCs/>
      <w:color w:val="0095C5"/>
    </w:rPr>
  </w:style>
  <w:style w:type="character" w:customStyle="1" w:styleId="Heading1Char">
    <w:name w:val="Heading 1 Char"/>
    <w:basedOn w:val="DefaultParagraphFont"/>
    <w:link w:val="Heading1"/>
    <w:uiPriority w:val="9"/>
    <w:rsid w:val="0049198E"/>
    <w:rPr>
      <w:rFonts w:asciiTheme="majorHAnsi" w:eastAsiaTheme="majorEastAsia" w:hAnsiTheme="majorHAnsi" w:cstheme="majorBidi"/>
      <w:color w:val="374C80" w:themeColor="accent1" w:themeShade="BF"/>
      <w:sz w:val="36"/>
      <w:szCs w:val="36"/>
    </w:rPr>
  </w:style>
  <w:style w:type="paragraph" w:customStyle="1" w:styleId="ChapterTitle">
    <w:name w:val="Chapter Title"/>
    <w:basedOn w:val="Heading1"/>
    <w:rsid w:val="00D2767B"/>
  </w:style>
  <w:style w:type="paragraph" w:customStyle="1" w:styleId="ChartGraphsourcecaption">
    <w:name w:val="Chart/Graph source caption"/>
    <w:rsid w:val="00D2767B"/>
    <w:pPr>
      <w:widowControl w:val="0"/>
      <w:autoSpaceDE w:val="0"/>
      <w:autoSpaceDN w:val="0"/>
      <w:adjustRightInd w:val="0"/>
      <w:spacing w:before="240" w:after="480"/>
      <w:textAlignment w:val="center"/>
    </w:pPr>
    <w:rPr>
      <w:rFonts w:asciiTheme="majorHAnsi" w:hAnsiTheme="majorHAnsi" w:cs="MinionPro-Regular"/>
      <w:i/>
      <w:color w:val="7F7F7F" w:themeColor="text1" w:themeTint="80"/>
      <w:sz w:val="18"/>
    </w:rPr>
  </w:style>
  <w:style w:type="paragraph" w:customStyle="1" w:styleId="ChartGraphSubheader">
    <w:name w:val="Chart/Graph Subheader"/>
    <w:rsid w:val="00D2767B"/>
    <w:pPr>
      <w:spacing w:after="240" w:line="216" w:lineRule="auto"/>
    </w:pPr>
    <w:rPr>
      <w:rFonts w:asciiTheme="majorHAnsi" w:hAnsiTheme="majorHAnsi" w:cs="MinionPro-Regular"/>
      <w:caps/>
      <w:color w:val="000000" w:themeColor="text1"/>
      <w:sz w:val="19"/>
      <w14:textFill>
        <w14:solidFill>
          <w14:schemeClr w14:val="tx1">
            <w14:lumMod w14:val="65000"/>
            <w14:lumOff w14:val="35000"/>
            <w14:lumMod w14:val="65000"/>
            <w14:lumOff w14:val="35000"/>
          </w14:schemeClr>
        </w14:solidFill>
      </w14:textFill>
    </w:rPr>
  </w:style>
  <w:style w:type="paragraph" w:customStyle="1" w:styleId="ChartGraphTitle">
    <w:name w:val="Chart/Graph Title"/>
    <w:next w:val="Normal"/>
    <w:rsid w:val="00D2767B"/>
    <w:pPr>
      <w:spacing w:before="480" w:after="40" w:line="216" w:lineRule="auto"/>
    </w:pPr>
    <w:rPr>
      <w:rFonts w:asciiTheme="majorHAnsi" w:hAnsiTheme="majorHAnsi" w:cs="MinionPro-Regular"/>
      <w:color w:val="0095C5"/>
    </w:rPr>
  </w:style>
  <w:style w:type="character" w:styleId="CommentReference">
    <w:name w:val="annotation reference"/>
    <w:basedOn w:val="DefaultParagraphFont"/>
    <w:uiPriority w:val="99"/>
    <w:semiHidden/>
    <w:unhideWhenUsed/>
    <w:rsid w:val="00D2767B"/>
    <w:rPr>
      <w:sz w:val="16"/>
      <w:szCs w:val="16"/>
    </w:rPr>
  </w:style>
  <w:style w:type="paragraph" w:styleId="CommentText">
    <w:name w:val="annotation text"/>
    <w:basedOn w:val="Normal"/>
    <w:link w:val="CommentTextChar"/>
    <w:uiPriority w:val="99"/>
    <w:semiHidden/>
    <w:unhideWhenUsed/>
    <w:rsid w:val="00D2767B"/>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D2767B"/>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2767B"/>
    <w:pPr>
      <w:jc w:val="both"/>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D2767B"/>
    <w:rPr>
      <w:rFonts w:ascii="Times New Roman" w:eastAsiaTheme="minorEastAsia" w:hAnsi="Times New Roman" w:cs="Times New Roman"/>
      <w:b/>
      <w:bCs/>
      <w:sz w:val="20"/>
      <w:szCs w:val="20"/>
    </w:rPr>
  </w:style>
  <w:style w:type="paragraph" w:customStyle="1" w:styleId="Default">
    <w:name w:val="Default"/>
    <w:rsid w:val="00D2767B"/>
    <w:pPr>
      <w:widowControl w:val="0"/>
      <w:autoSpaceDE w:val="0"/>
      <w:autoSpaceDN w:val="0"/>
      <w:adjustRightInd w:val="0"/>
    </w:pPr>
    <w:rPr>
      <w:rFonts w:ascii="Open Sans" w:hAnsi="Open Sans" w:cs="Open Sans"/>
      <w:color w:val="000000"/>
    </w:rPr>
  </w:style>
  <w:style w:type="paragraph" w:styleId="DocumentMap">
    <w:name w:val="Document Map"/>
    <w:basedOn w:val="Normal"/>
    <w:link w:val="DocumentMapChar"/>
    <w:uiPriority w:val="99"/>
    <w:semiHidden/>
    <w:unhideWhenUsed/>
    <w:rsid w:val="00D2767B"/>
    <w:rPr>
      <w:rFonts w:cs="Times New Roman"/>
    </w:rPr>
  </w:style>
  <w:style w:type="character" w:customStyle="1" w:styleId="DocumentMapChar">
    <w:name w:val="Document Map Char"/>
    <w:basedOn w:val="DefaultParagraphFont"/>
    <w:link w:val="DocumentMap"/>
    <w:uiPriority w:val="99"/>
    <w:semiHidden/>
    <w:rsid w:val="00D2767B"/>
    <w:rPr>
      <w:rFonts w:ascii="Times New Roman" w:eastAsiaTheme="minorEastAsia" w:hAnsi="Times New Roman" w:cs="Times New Roman"/>
      <w:sz w:val="24"/>
      <w:szCs w:val="24"/>
    </w:rPr>
  </w:style>
  <w:style w:type="character" w:styleId="EndnoteReference">
    <w:name w:val="endnote reference"/>
    <w:basedOn w:val="DefaultParagraphFont"/>
    <w:uiPriority w:val="99"/>
    <w:unhideWhenUsed/>
    <w:rsid w:val="00D2767B"/>
    <w:rPr>
      <w:vertAlign w:val="superscript"/>
    </w:rPr>
  </w:style>
  <w:style w:type="paragraph" w:styleId="EndnoteText">
    <w:name w:val="endnote text"/>
    <w:basedOn w:val="Normal"/>
    <w:link w:val="EndnoteTextChar"/>
    <w:uiPriority w:val="99"/>
    <w:unhideWhenUsed/>
    <w:rsid w:val="00D2767B"/>
    <w:rPr>
      <w:sz w:val="20"/>
      <w:szCs w:val="20"/>
    </w:rPr>
  </w:style>
  <w:style w:type="character" w:customStyle="1" w:styleId="EndnoteTextChar">
    <w:name w:val="Endnote Text Char"/>
    <w:basedOn w:val="DefaultParagraphFont"/>
    <w:link w:val="EndnoteText"/>
    <w:uiPriority w:val="99"/>
    <w:rsid w:val="00D2767B"/>
    <w:rPr>
      <w:rFonts w:ascii="Times New Roman" w:eastAsiaTheme="minorEastAsia" w:hAnsi="Times New Roman"/>
      <w:sz w:val="20"/>
      <w:szCs w:val="20"/>
    </w:rPr>
  </w:style>
  <w:style w:type="paragraph" w:styleId="Footer">
    <w:name w:val="footer"/>
    <w:basedOn w:val="Normal"/>
    <w:link w:val="FooterChar"/>
    <w:uiPriority w:val="99"/>
    <w:unhideWhenUsed/>
    <w:rsid w:val="00D2767B"/>
    <w:pPr>
      <w:tabs>
        <w:tab w:val="center" w:pos="4680"/>
        <w:tab w:val="right" w:pos="9360"/>
      </w:tabs>
    </w:pPr>
  </w:style>
  <w:style w:type="character" w:customStyle="1" w:styleId="FooterChar">
    <w:name w:val="Footer Char"/>
    <w:basedOn w:val="DefaultParagraphFont"/>
    <w:link w:val="Footer"/>
    <w:uiPriority w:val="99"/>
    <w:rsid w:val="00D2767B"/>
    <w:rPr>
      <w:rFonts w:ascii="Times New Roman" w:eastAsiaTheme="minorEastAsia" w:hAnsi="Times New Roman"/>
      <w:szCs w:val="24"/>
    </w:rPr>
  </w:style>
  <w:style w:type="paragraph" w:customStyle="1" w:styleId="FooterRight">
    <w:name w:val="Footer Right"/>
    <w:basedOn w:val="Normal"/>
    <w:link w:val="FooterRightChar"/>
    <w:rsid w:val="00D2767B"/>
    <w:pPr>
      <w:tabs>
        <w:tab w:val="center" w:pos="4320"/>
        <w:tab w:val="right" w:pos="8640"/>
      </w:tabs>
      <w:jc w:val="right"/>
    </w:pPr>
    <w:rPr>
      <w:rFonts w:ascii="Calibri" w:hAnsi="Calibri"/>
      <w:sz w:val="19"/>
      <w:szCs w:val="19"/>
    </w:rPr>
  </w:style>
  <w:style w:type="character" w:customStyle="1" w:styleId="FooterRightChar">
    <w:name w:val="Footer Right Char"/>
    <w:basedOn w:val="DefaultParagraphFont"/>
    <w:link w:val="FooterRight"/>
    <w:rsid w:val="00D2767B"/>
    <w:rPr>
      <w:rFonts w:ascii="Calibri" w:eastAsiaTheme="minorEastAsia" w:hAnsi="Calibri"/>
      <w:sz w:val="19"/>
      <w:szCs w:val="19"/>
    </w:rPr>
  </w:style>
  <w:style w:type="paragraph" w:customStyle="1" w:styleId="FooterLeft">
    <w:name w:val="Footer Left"/>
    <w:basedOn w:val="FooterRight"/>
    <w:rsid w:val="00D2767B"/>
    <w:pPr>
      <w:jc w:val="left"/>
    </w:pPr>
  </w:style>
  <w:style w:type="character" w:styleId="FootnoteReference">
    <w:name w:val="footnote reference"/>
    <w:basedOn w:val="DefaultParagraphFont"/>
    <w:uiPriority w:val="99"/>
    <w:unhideWhenUsed/>
    <w:rsid w:val="00D2767B"/>
    <w:rPr>
      <w:vertAlign w:val="superscript"/>
    </w:rPr>
  </w:style>
  <w:style w:type="paragraph" w:styleId="FootnoteText">
    <w:name w:val="footnote text"/>
    <w:basedOn w:val="Normal"/>
    <w:link w:val="FootnoteTextChar"/>
    <w:uiPriority w:val="99"/>
    <w:semiHidden/>
    <w:unhideWhenUsed/>
    <w:rsid w:val="00D2767B"/>
    <w:rPr>
      <w:sz w:val="20"/>
      <w:szCs w:val="20"/>
    </w:rPr>
  </w:style>
  <w:style w:type="character" w:customStyle="1" w:styleId="FootnoteTextChar">
    <w:name w:val="Footnote Text Char"/>
    <w:basedOn w:val="DefaultParagraphFont"/>
    <w:link w:val="FootnoteText"/>
    <w:uiPriority w:val="99"/>
    <w:semiHidden/>
    <w:rsid w:val="00D2767B"/>
    <w:rPr>
      <w:rFonts w:ascii="Times New Roman" w:eastAsiaTheme="minorEastAsia" w:hAnsi="Times New Roman"/>
      <w:sz w:val="20"/>
      <w:szCs w:val="20"/>
    </w:rPr>
  </w:style>
  <w:style w:type="paragraph" w:customStyle="1" w:styleId="FootnoteText1">
    <w:name w:val="Footnote Text 1"/>
    <w:autoRedefine/>
    <w:rsid w:val="00D2767B"/>
    <w:rPr>
      <w:rFonts w:ascii="Times New Roman" w:hAnsi="Times New Roman" w:cs="Times New Roman"/>
      <w:iCs/>
      <w:sz w:val="18"/>
      <w:szCs w:val="18"/>
    </w:rPr>
  </w:style>
  <w:style w:type="paragraph" w:styleId="Header">
    <w:name w:val="header"/>
    <w:basedOn w:val="Normal"/>
    <w:link w:val="HeaderChar"/>
    <w:uiPriority w:val="99"/>
    <w:unhideWhenUsed/>
    <w:rsid w:val="00D2767B"/>
    <w:pPr>
      <w:tabs>
        <w:tab w:val="center" w:pos="4320"/>
        <w:tab w:val="right" w:pos="8640"/>
      </w:tabs>
    </w:pPr>
  </w:style>
  <w:style w:type="character" w:customStyle="1" w:styleId="HeaderChar">
    <w:name w:val="Header Char"/>
    <w:basedOn w:val="DefaultParagraphFont"/>
    <w:link w:val="Header"/>
    <w:uiPriority w:val="99"/>
    <w:rsid w:val="00D2767B"/>
    <w:rPr>
      <w:rFonts w:ascii="Times New Roman" w:eastAsiaTheme="minorEastAsia" w:hAnsi="Times New Roman"/>
      <w:szCs w:val="24"/>
    </w:rPr>
  </w:style>
  <w:style w:type="paragraph" w:customStyle="1" w:styleId="HeaderRight">
    <w:name w:val="Header Right"/>
    <w:rsid w:val="00D2767B"/>
    <w:pPr>
      <w:pBdr>
        <w:bottom w:val="single" w:sz="4" w:space="1" w:color="auto"/>
      </w:pBdr>
      <w:jc w:val="right"/>
    </w:pPr>
    <w:rPr>
      <w:rFonts w:asciiTheme="majorHAnsi" w:hAnsiTheme="majorHAnsi"/>
      <w:caps/>
      <w:sz w:val="19"/>
      <w:szCs w:val="19"/>
    </w:rPr>
  </w:style>
  <w:style w:type="paragraph" w:customStyle="1" w:styleId="HeaderLeft">
    <w:name w:val="Header Left"/>
    <w:basedOn w:val="HeaderRight"/>
    <w:rsid w:val="00D2767B"/>
    <w:pPr>
      <w:jc w:val="left"/>
    </w:pPr>
  </w:style>
  <w:style w:type="character" w:customStyle="1" w:styleId="Heading2Char">
    <w:name w:val="Heading 2 Char"/>
    <w:basedOn w:val="DefaultParagraphFont"/>
    <w:link w:val="Heading2"/>
    <w:uiPriority w:val="9"/>
    <w:semiHidden/>
    <w:rsid w:val="0049198E"/>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semiHidden/>
    <w:rsid w:val="0049198E"/>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D2767B"/>
    <w:rPr>
      <w:color w:val="9454C3" w:themeColor="hyperlink"/>
      <w:u w:val="single"/>
    </w:rPr>
  </w:style>
  <w:style w:type="paragraph" w:styleId="ListParagraph">
    <w:name w:val="List Paragraph"/>
    <w:basedOn w:val="Normal"/>
    <w:uiPriority w:val="34"/>
    <w:qFormat/>
    <w:rsid w:val="00D2767B"/>
    <w:pPr>
      <w:ind w:left="720"/>
      <w:contextualSpacing/>
    </w:pPr>
  </w:style>
  <w:style w:type="paragraph" w:styleId="NormalWeb">
    <w:name w:val="Normal (Web)"/>
    <w:basedOn w:val="Normal"/>
    <w:uiPriority w:val="99"/>
    <w:unhideWhenUsed/>
    <w:rsid w:val="00D2767B"/>
    <w:pPr>
      <w:spacing w:before="100" w:beforeAutospacing="1" w:after="100" w:afterAutospacing="1"/>
    </w:pPr>
    <w:rPr>
      <w:rFonts w:eastAsia="Times New Roman" w:cs="Times New Roman"/>
    </w:rPr>
  </w:style>
  <w:style w:type="paragraph" w:customStyle="1" w:styleId="sub-bullet">
    <w:name w:val="sub-bullet"/>
    <w:basedOn w:val="bullet"/>
    <w:rsid w:val="00D2767B"/>
    <w:pPr>
      <w:numPr>
        <w:ilvl w:val="1"/>
      </w:numPr>
    </w:pPr>
  </w:style>
  <w:style w:type="paragraph" w:styleId="Subtitle">
    <w:name w:val="Subtitle"/>
    <w:basedOn w:val="Normal"/>
    <w:next w:val="Normal"/>
    <w:link w:val="SubtitleChar"/>
    <w:uiPriority w:val="11"/>
    <w:qFormat/>
    <w:rsid w:val="004919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9198E"/>
    <w:rPr>
      <w:rFonts w:asciiTheme="majorHAnsi" w:eastAsiaTheme="majorEastAsia" w:hAnsiTheme="majorHAnsi" w:cstheme="majorBidi"/>
      <w:color w:val="404040" w:themeColor="text1" w:themeTint="BF"/>
      <w:sz w:val="30"/>
      <w:szCs w:val="30"/>
    </w:rPr>
  </w:style>
  <w:style w:type="character" w:customStyle="1" w:styleId="UnresolvedMention1">
    <w:name w:val="Unresolved Mention1"/>
    <w:basedOn w:val="DefaultParagraphFont"/>
    <w:uiPriority w:val="99"/>
    <w:semiHidden/>
    <w:unhideWhenUsed/>
    <w:rsid w:val="00D2767B"/>
    <w:rPr>
      <w:color w:val="808080"/>
      <w:shd w:val="clear" w:color="auto" w:fill="E6E6E6"/>
    </w:rPr>
  </w:style>
  <w:style w:type="character" w:customStyle="1" w:styleId="Heading3Char">
    <w:name w:val="Heading 3 Char"/>
    <w:basedOn w:val="DefaultParagraphFont"/>
    <w:link w:val="Heading3"/>
    <w:uiPriority w:val="9"/>
    <w:semiHidden/>
    <w:rsid w:val="0049198E"/>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4919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919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919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919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919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919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919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49198E"/>
    <w:rPr>
      <w:rFonts w:asciiTheme="majorHAnsi" w:eastAsiaTheme="majorEastAsia" w:hAnsiTheme="majorHAnsi" w:cstheme="majorBidi"/>
      <w:color w:val="374C80" w:themeColor="accent1" w:themeShade="BF"/>
      <w:spacing w:val="-7"/>
      <w:sz w:val="80"/>
      <w:szCs w:val="80"/>
    </w:rPr>
  </w:style>
  <w:style w:type="character" w:styleId="Strong">
    <w:name w:val="Strong"/>
    <w:basedOn w:val="DefaultParagraphFont"/>
    <w:uiPriority w:val="22"/>
    <w:qFormat/>
    <w:rsid w:val="0049198E"/>
    <w:rPr>
      <w:b/>
      <w:bCs/>
    </w:rPr>
  </w:style>
  <w:style w:type="character" w:styleId="Emphasis">
    <w:name w:val="Emphasis"/>
    <w:basedOn w:val="DefaultParagraphFont"/>
    <w:uiPriority w:val="20"/>
    <w:qFormat/>
    <w:rsid w:val="0049198E"/>
    <w:rPr>
      <w:i/>
      <w:iCs/>
    </w:rPr>
  </w:style>
  <w:style w:type="paragraph" w:styleId="NoSpacing">
    <w:name w:val="No Spacing"/>
    <w:uiPriority w:val="1"/>
    <w:qFormat/>
    <w:rsid w:val="0049198E"/>
    <w:pPr>
      <w:spacing w:after="0" w:line="240" w:lineRule="auto"/>
    </w:pPr>
  </w:style>
  <w:style w:type="paragraph" w:styleId="Quote">
    <w:name w:val="Quote"/>
    <w:basedOn w:val="Normal"/>
    <w:next w:val="Normal"/>
    <w:link w:val="QuoteChar"/>
    <w:uiPriority w:val="29"/>
    <w:qFormat/>
    <w:rsid w:val="004919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9198E"/>
    <w:rPr>
      <w:i/>
      <w:iCs/>
    </w:rPr>
  </w:style>
  <w:style w:type="paragraph" w:styleId="IntenseQuote">
    <w:name w:val="Intense Quote"/>
    <w:basedOn w:val="Normal"/>
    <w:next w:val="Normal"/>
    <w:link w:val="IntenseQuoteChar"/>
    <w:uiPriority w:val="30"/>
    <w:qFormat/>
    <w:rsid w:val="004919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4919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49198E"/>
    <w:rPr>
      <w:i/>
      <w:iCs/>
      <w:color w:val="595959" w:themeColor="text1" w:themeTint="A6"/>
    </w:rPr>
  </w:style>
  <w:style w:type="character" w:styleId="IntenseEmphasis">
    <w:name w:val="Intense Emphasis"/>
    <w:basedOn w:val="DefaultParagraphFont"/>
    <w:uiPriority w:val="21"/>
    <w:qFormat/>
    <w:rsid w:val="0049198E"/>
    <w:rPr>
      <w:b/>
      <w:bCs/>
      <w:i/>
      <w:iCs/>
    </w:rPr>
  </w:style>
  <w:style w:type="character" w:styleId="SubtleReference">
    <w:name w:val="Subtle Reference"/>
    <w:basedOn w:val="DefaultParagraphFont"/>
    <w:uiPriority w:val="31"/>
    <w:qFormat/>
    <w:rsid w:val="0049198E"/>
    <w:rPr>
      <w:smallCaps/>
      <w:color w:val="404040" w:themeColor="text1" w:themeTint="BF"/>
    </w:rPr>
  </w:style>
  <w:style w:type="character" w:styleId="IntenseReference">
    <w:name w:val="Intense Reference"/>
    <w:basedOn w:val="DefaultParagraphFont"/>
    <w:uiPriority w:val="32"/>
    <w:qFormat/>
    <w:rsid w:val="0049198E"/>
    <w:rPr>
      <w:b/>
      <w:bCs/>
      <w:smallCaps/>
      <w:u w:val="single"/>
    </w:rPr>
  </w:style>
  <w:style w:type="character" w:styleId="BookTitle">
    <w:name w:val="Book Title"/>
    <w:basedOn w:val="DefaultParagraphFont"/>
    <w:uiPriority w:val="33"/>
    <w:qFormat/>
    <w:rsid w:val="0049198E"/>
    <w:rPr>
      <w:b/>
      <w:bCs/>
      <w:smallCaps/>
    </w:rPr>
  </w:style>
  <w:style w:type="paragraph" w:styleId="TOCHeading">
    <w:name w:val="TOC Heading"/>
    <w:basedOn w:val="Heading1"/>
    <w:next w:val="Normal"/>
    <w:uiPriority w:val="39"/>
    <w:semiHidden/>
    <w:unhideWhenUsed/>
    <w:qFormat/>
    <w:rsid w:val="0049198E"/>
    <w:pPr>
      <w:outlineLvl w:val="9"/>
    </w:pPr>
  </w:style>
  <w:style w:type="table" w:styleId="TableGrid">
    <w:name w:val="Table Grid"/>
    <w:basedOn w:val="TableNormal"/>
    <w:uiPriority w:val="39"/>
    <w:rsid w:val="005A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216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ent">
    <w:name w:val="content"/>
    <w:basedOn w:val="Normal"/>
    <w:uiPriority w:val="99"/>
    <w:rsid w:val="008C6C5B"/>
    <w:pPr>
      <w:autoSpaceDE w:val="0"/>
      <w:autoSpaceDN w:val="0"/>
      <w:adjustRightInd w:val="0"/>
      <w:spacing w:after="180" w:line="288" w:lineRule="auto"/>
      <w:textAlignment w:val="center"/>
    </w:pPr>
    <w:rPr>
      <w:rFonts w:ascii="Minion Pro" w:eastAsiaTheme="minorHAnsi" w:hAnsi="Minion Pro" w:cs="Minion Pro"/>
      <w:color w:val="000000"/>
      <w:sz w:val="23"/>
      <w:szCs w:val="23"/>
    </w:rPr>
  </w:style>
  <w:style w:type="character" w:styleId="FollowedHyperlink">
    <w:name w:val="FollowedHyperlink"/>
    <w:basedOn w:val="DefaultParagraphFont"/>
    <w:uiPriority w:val="99"/>
    <w:semiHidden/>
    <w:unhideWhenUsed/>
    <w:rsid w:val="00D6301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59251">
      <w:bodyDiv w:val="1"/>
      <w:marLeft w:val="0"/>
      <w:marRight w:val="0"/>
      <w:marTop w:val="0"/>
      <w:marBottom w:val="0"/>
      <w:divBdr>
        <w:top w:val="none" w:sz="0" w:space="0" w:color="auto"/>
        <w:left w:val="none" w:sz="0" w:space="0" w:color="auto"/>
        <w:bottom w:val="none" w:sz="0" w:space="0" w:color="auto"/>
        <w:right w:val="none" w:sz="0" w:space="0" w:color="auto"/>
      </w:divBdr>
    </w:div>
    <w:div w:id="504170096">
      <w:bodyDiv w:val="1"/>
      <w:marLeft w:val="0"/>
      <w:marRight w:val="0"/>
      <w:marTop w:val="0"/>
      <w:marBottom w:val="0"/>
      <w:divBdr>
        <w:top w:val="none" w:sz="0" w:space="0" w:color="auto"/>
        <w:left w:val="none" w:sz="0" w:space="0" w:color="auto"/>
        <w:bottom w:val="none" w:sz="0" w:space="0" w:color="auto"/>
        <w:right w:val="none" w:sz="0" w:space="0" w:color="auto"/>
      </w:divBdr>
      <w:divsChild>
        <w:div w:id="84806854">
          <w:marLeft w:val="504"/>
          <w:marRight w:val="0"/>
          <w:marTop w:val="140"/>
          <w:marBottom w:val="0"/>
          <w:divBdr>
            <w:top w:val="none" w:sz="0" w:space="0" w:color="auto"/>
            <w:left w:val="none" w:sz="0" w:space="0" w:color="auto"/>
            <w:bottom w:val="none" w:sz="0" w:space="0" w:color="auto"/>
            <w:right w:val="none" w:sz="0" w:space="0" w:color="auto"/>
          </w:divBdr>
        </w:div>
        <w:div w:id="423452347">
          <w:marLeft w:val="1008"/>
          <w:marRight w:val="0"/>
          <w:marTop w:val="110"/>
          <w:marBottom w:val="0"/>
          <w:divBdr>
            <w:top w:val="none" w:sz="0" w:space="0" w:color="auto"/>
            <w:left w:val="none" w:sz="0" w:space="0" w:color="auto"/>
            <w:bottom w:val="none" w:sz="0" w:space="0" w:color="auto"/>
            <w:right w:val="none" w:sz="0" w:space="0" w:color="auto"/>
          </w:divBdr>
        </w:div>
        <w:div w:id="1465007720">
          <w:marLeft w:val="1008"/>
          <w:marRight w:val="0"/>
          <w:marTop w:val="110"/>
          <w:marBottom w:val="0"/>
          <w:divBdr>
            <w:top w:val="none" w:sz="0" w:space="0" w:color="auto"/>
            <w:left w:val="none" w:sz="0" w:space="0" w:color="auto"/>
            <w:bottom w:val="none" w:sz="0" w:space="0" w:color="auto"/>
            <w:right w:val="none" w:sz="0" w:space="0" w:color="auto"/>
          </w:divBdr>
        </w:div>
        <w:div w:id="1507091193">
          <w:marLeft w:val="504"/>
          <w:marRight w:val="0"/>
          <w:marTop w:val="140"/>
          <w:marBottom w:val="0"/>
          <w:divBdr>
            <w:top w:val="none" w:sz="0" w:space="0" w:color="auto"/>
            <w:left w:val="none" w:sz="0" w:space="0" w:color="auto"/>
            <w:bottom w:val="none" w:sz="0" w:space="0" w:color="auto"/>
            <w:right w:val="none" w:sz="0" w:space="0" w:color="auto"/>
          </w:divBdr>
        </w:div>
        <w:div w:id="1460490367">
          <w:marLeft w:val="1008"/>
          <w:marRight w:val="0"/>
          <w:marTop w:val="110"/>
          <w:marBottom w:val="0"/>
          <w:divBdr>
            <w:top w:val="none" w:sz="0" w:space="0" w:color="auto"/>
            <w:left w:val="none" w:sz="0" w:space="0" w:color="auto"/>
            <w:bottom w:val="none" w:sz="0" w:space="0" w:color="auto"/>
            <w:right w:val="none" w:sz="0" w:space="0" w:color="auto"/>
          </w:divBdr>
        </w:div>
        <w:div w:id="594440052">
          <w:marLeft w:val="1008"/>
          <w:marRight w:val="0"/>
          <w:marTop w:val="110"/>
          <w:marBottom w:val="0"/>
          <w:divBdr>
            <w:top w:val="none" w:sz="0" w:space="0" w:color="auto"/>
            <w:left w:val="none" w:sz="0" w:space="0" w:color="auto"/>
            <w:bottom w:val="none" w:sz="0" w:space="0" w:color="auto"/>
            <w:right w:val="none" w:sz="0" w:space="0" w:color="auto"/>
          </w:divBdr>
        </w:div>
        <w:div w:id="1443768556">
          <w:marLeft w:val="504"/>
          <w:marRight w:val="0"/>
          <w:marTop w:val="140"/>
          <w:marBottom w:val="0"/>
          <w:divBdr>
            <w:top w:val="none" w:sz="0" w:space="0" w:color="auto"/>
            <w:left w:val="none" w:sz="0" w:space="0" w:color="auto"/>
            <w:bottom w:val="none" w:sz="0" w:space="0" w:color="auto"/>
            <w:right w:val="none" w:sz="0" w:space="0" w:color="auto"/>
          </w:divBdr>
        </w:div>
        <w:div w:id="1228147659">
          <w:marLeft w:val="1008"/>
          <w:marRight w:val="0"/>
          <w:marTop w:val="110"/>
          <w:marBottom w:val="0"/>
          <w:divBdr>
            <w:top w:val="none" w:sz="0" w:space="0" w:color="auto"/>
            <w:left w:val="none" w:sz="0" w:space="0" w:color="auto"/>
            <w:bottom w:val="none" w:sz="0" w:space="0" w:color="auto"/>
            <w:right w:val="none" w:sz="0" w:space="0" w:color="auto"/>
          </w:divBdr>
        </w:div>
        <w:div w:id="2007433850">
          <w:marLeft w:val="1008"/>
          <w:marRight w:val="0"/>
          <w:marTop w:val="110"/>
          <w:marBottom w:val="0"/>
          <w:divBdr>
            <w:top w:val="none" w:sz="0" w:space="0" w:color="auto"/>
            <w:left w:val="none" w:sz="0" w:space="0" w:color="auto"/>
            <w:bottom w:val="none" w:sz="0" w:space="0" w:color="auto"/>
            <w:right w:val="none" w:sz="0" w:space="0" w:color="auto"/>
          </w:divBdr>
        </w:div>
      </w:divsChild>
    </w:div>
    <w:div w:id="576986823">
      <w:bodyDiv w:val="1"/>
      <w:marLeft w:val="0"/>
      <w:marRight w:val="0"/>
      <w:marTop w:val="0"/>
      <w:marBottom w:val="0"/>
      <w:divBdr>
        <w:top w:val="none" w:sz="0" w:space="0" w:color="auto"/>
        <w:left w:val="none" w:sz="0" w:space="0" w:color="auto"/>
        <w:bottom w:val="none" w:sz="0" w:space="0" w:color="auto"/>
        <w:right w:val="none" w:sz="0" w:space="0" w:color="auto"/>
      </w:divBdr>
      <w:divsChild>
        <w:div w:id="1607423536">
          <w:marLeft w:val="0"/>
          <w:marRight w:val="0"/>
          <w:marTop w:val="0"/>
          <w:marBottom w:val="0"/>
          <w:divBdr>
            <w:top w:val="none" w:sz="0" w:space="0" w:color="auto"/>
            <w:left w:val="none" w:sz="0" w:space="0" w:color="auto"/>
            <w:bottom w:val="none" w:sz="0" w:space="0" w:color="auto"/>
            <w:right w:val="none" w:sz="0" w:space="0" w:color="auto"/>
          </w:divBdr>
          <w:divsChild>
            <w:div w:id="1009138388">
              <w:marLeft w:val="0"/>
              <w:marRight w:val="0"/>
              <w:marTop w:val="0"/>
              <w:marBottom w:val="0"/>
              <w:divBdr>
                <w:top w:val="none" w:sz="0" w:space="0" w:color="auto"/>
                <w:left w:val="none" w:sz="0" w:space="0" w:color="auto"/>
                <w:bottom w:val="none" w:sz="0" w:space="0" w:color="auto"/>
                <w:right w:val="none" w:sz="0" w:space="0" w:color="auto"/>
              </w:divBdr>
              <w:divsChild>
                <w:div w:id="220410725">
                  <w:marLeft w:val="0"/>
                  <w:marRight w:val="0"/>
                  <w:marTop w:val="0"/>
                  <w:marBottom w:val="0"/>
                  <w:divBdr>
                    <w:top w:val="none" w:sz="0" w:space="0" w:color="auto"/>
                    <w:left w:val="none" w:sz="0" w:space="0" w:color="auto"/>
                    <w:bottom w:val="none" w:sz="0" w:space="0" w:color="auto"/>
                    <w:right w:val="none" w:sz="0" w:space="0" w:color="auto"/>
                  </w:divBdr>
                  <w:divsChild>
                    <w:div w:id="14057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0748">
      <w:bodyDiv w:val="1"/>
      <w:marLeft w:val="0"/>
      <w:marRight w:val="0"/>
      <w:marTop w:val="0"/>
      <w:marBottom w:val="0"/>
      <w:divBdr>
        <w:top w:val="none" w:sz="0" w:space="0" w:color="auto"/>
        <w:left w:val="none" w:sz="0" w:space="0" w:color="auto"/>
        <w:bottom w:val="none" w:sz="0" w:space="0" w:color="auto"/>
        <w:right w:val="none" w:sz="0" w:space="0" w:color="auto"/>
      </w:divBdr>
      <w:divsChild>
        <w:div w:id="1023091458">
          <w:marLeft w:val="0"/>
          <w:marRight w:val="0"/>
          <w:marTop w:val="0"/>
          <w:marBottom w:val="0"/>
          <w:divBdr>
            <w:top w:val="none" w:sz="0" w:space="0" w:color="auto"/>
            <w:left w:val="none" w:sz="0" w:space="0" w:color="auto"/>
            <w:bottom w:val="none" w:sz="0" w:space="0" w:color="auto"/>
            <w:right w:val="none" w:sz="0" w:space="0" w:color="auto"/>
          </w:divBdr>
        </w:div>
      </w:divsChild>
    </w:div>
    <w:div w:id="751044842">
      <w:bodyDiv w:val="1"/>
      <w:marLeft w:val="0"/>
      <w:marRight w:val="0"/>
      <w:marTop w:val="0"/>
      <w:marBottom w:val="0"/>
      <w:divBdr>
        <w:top w:val="none" w:sz="0" w:space="0" w:color="auto"/>
        <w:left w:val="none" w:sz="0" w:space="0" w:color="auto"/>
        <w:bottom w:val="none" w:sz="0" w:space="0" w:color="auto"/>
        <w:right w:val="none" w:sz="0" w:space="0" w:color="auto"/>
      </w:divBdr>
      <w:divsChild>
        <w:div w:id="369961678">
          <w:marLeft w:val="0"/>
          <w:marRight w:val="0"/>
          <w:marTop w:val="0"/>
          <w:marBottom w:val="0"/>
          <w:divBdr>
            <w:top w:val="none" w:sz="0" w:space="0" w:color="auto"/>
            <w:left w:val="none" w:sz="0" w:space="0" w:color="auto"/>
            <w:bottom w:val="none" w:sz="0" w:space="0" w:color="auto"/>
            <w:right w:val="none" w:sz="0" w:space="0" w:color="auto"/>
          </w:divBdr>
          <w:divsChild>
            <w:div w:id="846359733">
              <w:marLeft w:val="0"/>
              <w:marRight w:val="0"/>
              <w:marTop w:val="0"/>
              <w:marBottom w:val="0"/>
              <w:divBdr>
                <w:top w:val="none" w:sz="0" w:space="0" w:color="auto"/>
                <w:left w:val="none" w:sz="0" w:space="0" w:color="auto"/>
                <w:bottom w:val="none" w:sz="0" w:space="0" w:color="auto"/>
                <w:right w:val="none" w:sz="0" w:space="0" w:color="auto"/>
              </w:divBdr>
              <w:divsChild>
                <w:div w:id="119804420">
                  <w:marLeft w:val="0"/>
                  <w:marRight w:val="0"/>
                  <w:marTop w:val="0"/>
                  <w:marBottom w:val="0"/>
                  <w:divBdr>
                    <w:top w:val="none" w:sz="0" w:space="0" w:color="auto"/>
                    <w:left w:val="none" w:sz="0" w:space="0" w:color="auto"/>
                    <w:bottom w:val="none" w:sz="0" w:space="0" w:color="auto"/>
                    <w:right w:val="none" w:sz="0" w:space="0" w:color="auto"/>
                  </w:divBdr>
                  <w:divsChild>
                    <w:div w:id="2012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5367">
      <w:bodyDiv w:val="1"/>
      <w:marLeft w:val="0"/>
      <w:marRight w:val="0"/>
      <w:marTop w:val="0"/>
      <w:marBottom w:val="0"/>
      <w:divBdr>
        <w:top w:val="none" w:sz="0" w:space="0" w:color="auto"/>
        <w:left w:val="none" w:sz="0" w:space="0" w:color="auto"/>
        <w:bottom w:val="none" w:sz="0" w:space="0" w:color="auto"/>
        <w:right w:val="none" w:sz="0" w:space="0" w:color="auto"/>
      </w:divBdr>
    </w:div>
    <w:div w:id="1077678229">
      <w:bodyDiv w:val="1"/>
      <w:marLeft w:val="0"/>
      <w:marRight w:val="0"/>
      <w:marTop w:val="0"/>
      <w:marBottom w:val="0"/>
      <w:divBdr>
        <w:top w:val="none" w:sz="0" w:space="0" w:color="auto"/>
        <w:left w:val="none" w:sz="0" w:space="0" w:color="auto"/>
        <w:bottom w:val="none" w:sz="0" w:space="0" w:color="auto"/>
        <w:right w:val="none" w:sz="0" w:space="0" w:color="auto"/>
      </w:divBdr>
    </w:div>
    <w:div w:id="1308828071">
      <w:bodyDiv w:val="1"/>
      <w:marLeft w:val="0"/>
      <w:marRight w:val="0"/>
      <w:marTop w:val="0"/>
      <w:marBottom w:val="0"/>
      <w:divBdr>
        <w:top w:val="none" w:sz="0" w:space="0" w:color="auto"/>
        <w:left w:val="none" w:sz="0" w:space="0" w:color="auto"/>
        <w:bottom w:val="none" w:sz="0" w:space="0" w:color="auto"/>
        <w:right w:val="none" w:sz="0" w:space="0" w:color="auto"/>
      </w:divBdr>
      <w:divsChild>
        <w:div w:id="2069186187">
          <w:marLeft w:val="0"/>
          <w:marRight w:val="0"/>
          <w:marTop w:val="0"/>
          <w:marBottom w:val="0"/>
          <w:divBdr>
            <w:top w:val="none" w:sz="0" w:space="0" w:color="auto"/>
            <w:left w:val="none" w:sz="0" w:space="0" w:color="auto"/>
            <w:bottom w:val="none" w:sz="0" w:space="0" w:color="auto"/>
            <w:right w:val="none" w:sz="0" w:space="0" w:color="auto"/>
          </w:divBdr>
        </w:div>
      </w:divsChild>
    </w:div>
    <w:div w:id="2029871910">
      <w:bodyDiv w:val="1"/>
      <w:marLeft w:val="0"/>
      <w:marRight w:val="0"/>
      <w:marTop w:val="0"/>
      <w:marBottom w:val="0"/>
      <w:divBdr>
        <w:top w:val="none" w:sz="0" w:space="0" w:color="auto"/>
        <w:left w:val="none" w:sz="0" w:space="0" w:color="auto"/>
        <w:bottom w:val="none" w:sz="0" w:space="0" w:color="auto"/>
        <w:right w:val="none" w:sz="0" w:space="0" w:color="auto"/>
      </w:divBdr>
      <w:divsChild>
        <w:div w:id="2022976144">
          <w:marLeft w:val="0"/>
          <w:marRight w:val="0"/>
          <w:marTop w:val="0"/>
          <w:marBottom w:val="0"/>
          <w:divBdr>
            <w:top w:val="none" w:sz="0" w:space="0" w:color="auto"/>
            <w:left w:val="none" w:sz="0" w:space="0" w:color="auto"/>
            <w:bottom w:val="none" w:sz="0" w:space="0" w:color="auto"/>
            <w:right w:val="none" w:sz="0" w:space="0" w:color="auto"/>
          </w:divBdr>
          <w:divsChild>
            <w:div w:id="947733055">
              <w:marLeft w:val="0"/>
              <w:marRight w:val="0"/>
              <w:marTop w:val="0"/>
              <w:marBottom w:val="0"/>
              <w:divBdr>
                <w:top w:val="none" w:sz="0" w:space="0" w:color="auto"/>
                <w:left w:val="none" w:sz="0" w:space="0" w:color="auto"/>
                <w:bottom w:val="none" w:sz="0" w:space="0" w:color="auto"/>
                <w:right w:val="none" w:sz="0" w:space="0" w:color="auto"/>
              </w:divBdr>
              <w:divsChild>
                <w:div w:id="566767420">
                  <w:marLeft w:val="0"/>
                  <w:marRight w:val="0"/>
                  <w:marTop w:val="0"/>
                  <w:marBottom w:val="0"/>
                  <w:divBdr>
                    <w:top w:val="none" w:sz="0" w:space="0" w:color="auto"/>
                    <w:left w:val="none" w:sz="0" w:space="0" w:color="auto"/>
                    <w:bottom w:val="none" w:sz="0" w:space="0" w:color="auto"/>
                    <w:right w:val="none" w:sz="0" w:space="0" w:color="auto"/>
                  </w:divBdr>
                  <w:divsChild>
                    <w:div w:id="15057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6678">
      <w:bodyDiv w:val="1"/>
      <w:marLeft w:val="0"/>
      <w:marRight w:val="0"/>
      <w:marTop w:val="0"/>
      <w:marBottom w:val="0"/>
      <w:divBdr>
        <w:top w:val="none" w:sz="0" w:space="0" w:color="auto"/>
        <w:left w:val="none" w:sz="0" w:space="0" w:color="auto"/>
        <w:bottom w:val="none" w:sz="0" w:space="0" w:color="auto"/>
        <w:right w:val="none" w:sz="0" w:space="0" w:color="auto"/>
      </w:divBdr>
      <w:divsChild>
        <w:div w:id="1898783766">
          <w:marLeft w:val="0"/>
          <w:marRight w:val="0"/>
          <w:marTop w:val="0"/>
          <w:marBottom w:val="0"/>
          <w:divBdr>
            <w:top w:val="none" w:sz="0" w:space="0" w:color="auto"/>
            <w:left w:val="none" w:sz="0" w:space="0" w:color="auto"/>
            <w:bottom w:val="none" w:sz="0" w:space="0" w:color="auto"/>
            <w:right w:val="none" w:sz="0" w:space="0" w:color="auto"/>
          </w:divBdr>
          <w:divsChild>
            <w:div w:id="788738892">
              <w:marLeft w:val="0"/>
              <w:marRight w:val="0"/>
              <w:marTop w:val="0"/>
              <w:marBottom w:val="0"/>
              <w:divBdr>
                <w:top w:val="none" w:sz="0" w:space="0" w:color="auto"/>
                <w:left w:val="none" w:sz="0" w:space="0" w:color="auto"/>
                <w:bottom w:val="none" w:sz="0" w:space="0" w:color="auto"/>
                <w:right w:val="none" w:sz="0" w:space="0" w:color="auto"/>
              </w:divBdr>
              <w:divsChild>
                <w:div w:id="1176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endnotes.xml.rels><?xml version="1.0" encoding="UTF-8" standalone="yes"?>
<Relationships xmlns="http://schemas.openxmlformats.org/package/2006/relationships"><Relationship Id="rId8" Type="http://schemas.openxmlformats.org/officeDocument/2006/relationships/hyperlink" Target="https://datacenter.kidscount.org/data/tables/51-persons-18-to-24-in-poverty?loc=1&amp;loct=1" TargetMode="External"/><Relationship Id="rId3" Type="http://schemas.openxmlformats.org/officeDocument/2006/relationships/hyperlink" Target="https://factfinder.census.gov/faces/tableservices/jsf/pages/productview.xhtml?src=CF" TargetMode="External"/><Relationship Id="rId7" Type="http://schemas.openxmlformats.org/officeDocument/2006/relationships/hyperlink" Target="https://datacenter.kidscount.org/data/tables/7246-economic-well-being-rank?loc=34&amp;loct=2" TargetMode="External"/><Relationship Id="rId2" Type="http://schemas.openxmlformats.org/officeDocument/2006/relationships/hyperlink" Target="https://www.scaany.org/wp-content/uploads/2019/01/State-of-NY-Children-Data-Book-2019.pdf" TargetMode="External"/><Relationship Id="rId1" Type="http://schemas.openxmlformats.org/officeDocument/2006/relationships/hyperlink" Target="https://www.vox.com/future-perfect/2019/4/10/18302183/tax-cut-democrats-earned-income-tax-credit-child-allowance" TargetMode="External"/><Relationship Id="rId6" Type="http://schemas.openxmlformats.org/officeDocument/2006/relationships/hyperlink" Target="https://datacenter.kidscount.org/data/tables/9981-kids-count-overall-rank?loc=34&amp;loct=2" TargetMode="External"/><Relationship Id="rId5" Type="http://schemas.openxmlformats.org/officeDocument/2006/relationships/hyperlink" Target="https://www.businessinsider.com/state-economy-ranking-q1-2018-2" TargetMode="External"/><Relationship Id="rId4" Type="http://schemas.openxmlformats.org/officeDocument/2006/relationships/hyperlink" Target="https://www.scaany.org/wp-content/uploads/2019/01/State-of-NY-Children-Data-Book-2019.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28025A3B8384B9B7110A33079ECA8" ma:contentTypeVersion="13" ma:contentTypeDescription="Create a new document." ma:contentTypeScope="" ma:versionID="68129dad5ad3560ecd6cb39ca8b05da7">
  <xsd:schema xmlns:xsd="http://www.w3.org/2001/XMLSchema" xmlns:xs="http://www.w3.org/2001/XMLSchema" xmlns:p="http://schemas.microsoft.com/office/2006/metadata/properties" xmlns:ns3="394ae3b7-d5ae-4f58-a122-797c0ea6fba3" xmlns:ns4="ac2dcb5e-b139-4506-87f5-f0c5d02f6e9d" targetNamespace="http://schemas.microsoft.com/office/2006/metadata/properties" ma:root="true" ma:fieldsID="18d3dd56631e87f4006a64fc3a1f1495" ns3:_="" ns4:_="">
    <xsd:import namespace="394ae3b7-d5ae-4f58-a122-797c0ea6fba3"/>
    <xsd:import namespace="ac2dcb5e-b139-4506-87f5-f0c5d02f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ae3b7-d5ae-4f58-a122-797c0ea6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dcb5e-b139-4506-87f5-f0c5d02f6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CF23-CBBC-406A-89ED-7A987B9B3C98}">
  <ds:schemaRefs>
    <ds:schemaRef ds:uri="http://schemas.openxmlformats.org/package/2006/metadata/core-properties"/>
    <ds:schemaRef ds:uri="http://schemas.microsoft.com/office/2006/documentManagement/types"/>
    <ds:schemaRef ds:uri="http://schemas.microsoft.com/office/infopath/2007/PartnerControls"/>
    <ds:schemaRef ds:uri="ac2dcb5e-b139-4506-87f5-f0c5d02f6e9d"/>
    <ds:schemaRef ds:uri="http://purl.org/dc/elements/1.1/"/>
    <ds:schemaRef ds:uri="http://schemas.microsoft.com/office/2006/metadata/properties"/>
    <ds:schemaRef ds:uri="http://purl.org/dc/terms/"/>
    <ds:schemaRef ds:uri="394ae3b7-d5ae-4f58-a122-797c0ea6fba3"/>
    <ds:schemaRef ds:uri="http://www.w3.org/XML/1998/namespace"/>
    <ds:schemaRef ds:uri="http://purl.org/dc/dcmitype/"/>
  </ds:schemaRefs>
</ds:datastoreItem>
</file>

<file path=customXml/itemProps2.xml><?xml version="1.0" encoding="utf-8"?>
<ds:datastoreItem xmlns:ds="http://schemas.openxmlformats.org/officeDocument/2006/customXml" ds:itemID="{ACA077E4-4211-4239-B462-4CA663D36611}">
  <ds:schemaRefs>
    <ds:schemaRef ds:uri="http://schemas.microsoft.com/sharepoint/v3/contenttype/forms"/>
  </ds:schemaRefs>
</ds:datastoreItem>
</file>

<file path=customXml/itemProps3.xml><?xml version="1.0" encoding="utf-8"?>
<ds:datastoreItem xmlns:ds="http://schemas.openxmlformats.org/officeDocument/2006/customXml" ds:itemID="{E1D8CC02-4660-4D6B-93D6-FA4DB8D15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ae3b7-d5ae-4f58-a122-797c0ea6fba3"/>
    <ds:schemaRef ds:uri="ac2dcb5e-b139-4506-87f5-f0c5d02f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6A916-A3E0-4801-826C-BCAFBAC6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Krug</dc:creator>
  <cp:keywords/>
  <dc:description/>
  <cp:lastModifiedBy>Brenda Episcopo</cp:lastModifiedBy>
  <cp:revision>2</cp:revision>
  <cp:lastPrinted>2019-05-29T16:22:00Z</cp:lastPrinted>
  <dcterms:created xsi:type="dcterms:W3CDTF">2020-02-04T23:28:00Z</dcterms:created>
  <dcterms:modified xsi:type="dcterms:W3CDTF">2020-02-04T23:28:00Z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0x01010042028025A3B8384B9B7110A33079ECA8</vt:lpwstr>
  </property>
  <property fmtid="{D5CDD505-2E9C-101B-9397-08002B2CF9AE}" pid="3" name="AuthorIds_UIVersion_2560">
    <vt:lpwstr>43</vt:lpwstr>
  </property>
</Properties>
</file>