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14870" w:rsidRDefault="00314870" w:rsidP="00314870">
      <w:pPr>
        <w:spacing w:after="0"/>
        <w:rPr>
          <w:rFonts w:ascii="Times New Roman" w:hAnsi="Times New Roman" w:cs="Times New Roman"/>
          <w:b/>
          <w:sz w:val="24"/>
        </w:rPr>
      </w:pPr>
      <w:r>
        <w:rPr>
          <w:rFonts w:ascii="Times New Roman" w:hAnsi="Times New Roman" w:cs="Times New Roman"/>
          <w:b/>
          <w:noProof/>
          <w:sz w:val="24"/>
        </w:rPr>
        <w:drawing>
          <wp:inline distT="0" distB="0" distL="0" distR="0" wp14:anchorId="1215F64E" wp14:editId="07777777">
            <wp:extent cx="977900" cy="662120"/>
            <wp:effectExtent l="0" t="0" r="0" b="5080"/>
            <wp:docPr id="1" name="Picture 1" descr="S:\ADMIN\Logos\UnitedWayPant287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Logos\UnitedWayPant287Logo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662120"/>
                    </a:xfrm>
                    <a:prstGeom prst="rect">
                      <a:avLst/>
                    </a:prstGeom>
                    <a:noFill/>
                    <a:ln>
                      <a:noFill/>
                    </a:ln>
                  </pic:spPr>
                </pic:pic>
              </a:graphicData>
            </a:graphic>
          </wp:inline>
        </w:drawing>
      </w:r>
    </w:p>
    <w:p w14:paraId="0A37501D" w14:textId="77777777" w:rsidR="00314870" w:rsidRDefault="00314870" w:rsidP="00314870">
      <w:pPr>
        <w:spacing w:after="0"/>
        <w:rPr>
          <w:rFonts w:ascii="Times New Roman" w:hAnsi="Times New Roman" w:cs="Times New Roman"/>
          <w:b/>
          <w:sz w:val="24"/>
        </w:rPr>
      </w:pPr>
    </w:p>
    <w:p w14:paraId="3595CEE6" w14:textId="172B561B" w:rsidR="00742D3C" w:rsidRPr="009E31CB" w:rsidRDefault="5E2A0DFF" w:rsidP="5E2A0DFF">
      <w:pPr>
        <w:spacing w:after="0"/>
        <w:rPr>
          <w:rFonts w:ascii="Times New Roman" w:hAnsi="Times New Roman" w:cs="Times New Roman"/>
          <w:b/>
          <w:bCs/>
          <w:sz w:val="28"/>
          <w:szCs w:val="28"/>
        </w:rPr>
      </w:pPr>
      <w:r w:rsidRPr="5E2A0DFF">
        <w:rPr>
          <w:rFonts w:ascii="Times New Roman" w:hAnsi="Times New Roman" w:cs="Times New Roman"/>
          <w:b/>
          <w:bCs/>
          <w:sz w:val="28"/>
          <w:szCs w:val="28"/>
        </w:rPr>
        <w:t>2020 UWNYS Policy Positions and Budget Requests</w:t>
      </w:r>
    </w:p>
    <w:p w14:paraId="5DAB6C7B" w14:textId="77777777" w:rsidR="00742D3C" w:rsidRDefault="00742D3C" w:rsidP="00742D3C">
      <w:pPr>
        <w:spacing w:after="0"/>
        <w:rPr>
          <w:rFonts w:ascii="Times New Roman" w:hAnsi="Times New Roman" w:cs="Times New Roman"/>
          <w:sz w:val="24"/>
        </w:rPr>
      </w:pPr>
    </w:p>
    <w:p w14:paraId="2E0A6F91" w14:textId="77777777" w:rsidR="007729C1" w:rsidRPr="009E31CB" w:rsidRDefault="007729C1" w:rsidP="008E29B2">
      <w:pPr>
        <w:spacing w:after="0"/>
        <w:rPr>
          <w:rFonts w:ascii="Times New Roman" w:hAnsi="Times New Roman" w:cs="Times New Roman"/>
          <w:b/>
          <w:sz w:val="24"/>
        </w:rPr>
      </w:pPr>
      <w:r w:rsidRPr="009E31CB">
        <w:rPr>
          <w:rFonts w:ascii="Times New Roman" w:hAnsi="Times New Roman" w:cs="Times New Roman"/>
          <w:b/>
          <w:sz w:val="24"/>
        </w:rPr>
        <w:t>Background</w:t>
      </w:r>
    </w:p>
    <w:p w14:paraId="02EB378F" w14:textId="77777777" w:rsidR="007729C1" w:rsidRDefault="007729C1" w:rsidP="008E29B2">
      <w:pPr>
        <w:spacing w:after="0"/>
        <w:rPr>
          <w:rFonts w:ascii="Times New Roman" w:hAnsi="Times New Roman" w:cs="Times New Roman"/>
          <w:sz w:val="24"/>
        </w:rPr>
      </w:pPr>
    </w:p>
    <w:p w14:paraId="6F30310B" w14:textId="77777777" w:rsidR="008E29B2" w:rsidRDefault="008E29B2" w:rsidP="008E29B2">
      <w:pPr>
        <w:spacing w:after="0"/>
        <w:rPr>
          <w:rFonts w:ascii="Times New Roman" w:hAnsi="Times New Roman" w:cs="Times New Roman"/>
          <w:sz w:val="24"/>
        </w:rPr>
      </w:pPr>
      <w:r>
        <w:rPr>
          <w:rFonts w:ascii="Times New Roman" w:hAnsi="Times New Roman" w:cs="Times New Roman"/>
          <w:sz w:val="24"/>
        </w:rPr>
        <w:t xml:space="preserve">The mission of United Way of New York State (UWNYS) is to </w:t>
      </w:r>
      <w:r w:rsidRPr="009E2549">
        <w:rPr>
          <w:rFonts w:ascii="Times New Roman" w:hAnsi="Times New Roman" w:cs="Times New Roman"/>
          <w:sz w:val="24"/>
        </w:rPr>
        <w:t xml:space="preserve">strengthen the capacity of </w:t>
      </w:r>
      <w:r>
        <w:rPr>
          <w:rFonts w:ascii="Times New Roman" w:hAnsi="Times New Roman" w:cs="Times New Roman"/>
          <w:sz w:val="24"/>
        </w:rPr>
        <w:t xml:space="preserve">our local </w:t>
      </w:r>
      <w:r w:rsidRPr="009E2549">
        <w:rPr>
          <w:rFonts w:ascii="Times New Roman" w:hAnsi="Times New Roman" w:cs="Times New Roman"/>
          <w:sz w:val="24"/>
        </w:rPr>
        <w:t>United Ways to be leaders in achieving results that improve the lives of all New Yorkers.</w:t>
      </w:r>
      <w:r>
        <w:rPr>
          <w:rFonts w:ascii="Times New Roman" w:hAnsi="Times New Roman" w:cs="Times New Roman"/>
          <w:sz w:val="24"/>
        </w:rPr>
        <w:t xml:space="preserve"> Working in communities across the state, local United Ways bring communities together to understand problems, fashion solutions, and raise resources to execute those solutions.</w:t>
      </w:r>
    </w:p>
    <w:p w14:paraId="6A05A809" w14:textId="77777777" w:rsidR="008E29B2" w:rsidRDefault="008E29B2" w:rsidP="008E29B2">
      <w:pPr>
        <w:spacing w:after="0"/>
        <w:rPr>
          <w:rFonts w:ascii="Times New Roman" w:hAnsi="Times New Roman" w:cs="Times New Roman"/>
          <w:sz w:val="24"/>
        </w:rPr>
      </w:pPr>
    </w:p>
    <w:p w14:paraId="5A8E9FBB" w14:textId="77777777" w:rsidR="008E29B2" w:rsidRDefault="008E29B2" w:rsidP="008E29B2">
      <w:pPr>
        <w:spacing w:after="0"/>
        <w:rPr>
          <w:rFonts w:ascii="Times New Roman" w:hAnsi="Times New Roman" w:cs="Times New Roman"/>
          <w:sz w:val="24"/>
        </w:rPr>
      </w:pPr>
      <w:r>
        <w:rPr>
          <w:rFonts w:ascii="Times New Roman" w:hAnsi="Times New Roman" w:cs="Times New Roman"/>
          <w:sz w:val="24"/>
        </w:rPr>
        <w:t xml:space="preserve">The policy positions presented by UWNYS are based </w:t>
      </w:r>
      <w:r w:rsidR="00D7098E" w:rsidRPr="007F4D13">
        <w:rPr>
          <w:rFonts w:ascii="Times New Roman" w:hAnsi="Times New Roman" w:cs="Times New Roman"/>
          <w:color w:val="000000" w:themeColor="text1"/>
          <w:sz w:val="24"/>
        </w:rPr>
        <w:t>upon</w:t>
      </w:r>
      <w:r>
        <w:rPr>
          <w:rFonts w:ascii="Times New Roman" w:hAnsi="Times New Roman" w:cs="Times New Roman"/>
          <w:sz w:val="24"/>
        </w:rPr>
        <w:t xml:space="preserve"> the experience</w:t>
      </w:r>
      <w:r w:rsidR="00D7098E" w:rsidRPr="007F4D13">
        <w:rPr>
          <w:rFonts w:ascii="Times New Roman" w:hAnsi="Times New Roman" w:cs="Times New Roman"/>
          <w:sz w:val="24"/>
        </w:rPr>
        <w:t>s</w:t>
      </w:r>
      <w:r>
        <w:rPr>
          <w:rFonts w:ascii="Times New Roman" w:hAnsi="Times New Roman" w:cs="Times New Roman"/>
          <w:sz w:val="24"/>
        </w:rPr>
        <w:t xml:space="preserve"> of our local United Ways. They see the needs in their communities, the gaps in service</w:t>
      </w:r>
      <w:r w:rsidR="007F4D13">
        <w:rPr>
          <w:rFonts w:ascii="Times New Roman" w:hAnsi="Times New Roman" w:cs="Times New Roman"/>
          <w:sz w:val="24"/>
        </w:rPr>
        <w:t xml:space="preserve"> </w:t>
      </w:r>
      <w:r>
        <w:rPr>
          <w:rFonts w:ascii="Times New Roman" w:hAnsi="Times New Roman" w:cs="Times New Roman"/>
          <w:sz w:val="24"/>
        </w:rPr>
        <w:t>and the programs that are effective in helping people. The local United Ways are active participants in our policy process</w:t>
      </w:r>
      <w:r w:rsidR="00D7098E">
        <w:rPr>
          <w:rFonts w:ascii="Times New Roman" w:hAnsi="Times New Roman" w:cs="Times New Roman"/>
          <w:sz w:val="24"/>
        </w:rPr>
        <w:t xml:space="preserve"> </w:t>
      </w:r>
      <w:r>
        <w:rPr>
          <w:rFonts w:ascii="Times New Roman" w:hAnsi="Times New Roman" w:cs="Times New Roman"/>
          <w:sz w:val="24"/>
        </w:rPr>
        <w:t>and our positions reflect their local knowledge.</w:t>
      </w:r>
    </w:p>
    <w:p w14:paraId="5A39BBE3" w14:textId="77777777" w:rsidR="007729C1" w:rsidRDefault="007729C1" w:rsidP="008E29B2">
      <w:pPr>
        <w:spacing w:after="0"/>
        <w:rPr>
          <w:rFonts w:ascii="Times New Roman" w:hAnsi="Times New Roman" w:cs="Times New Roman"/>
          <w:sz w:val="24"/>
        </w:rPr>
      </w:pPr>
    </w:p>
    <w:p w14:paraId="70F64B6E" w14:textId="77777777" w:rsidR="007729C1" w:rsidRDefault="009E31CB" w:rsidP="007729C1">
      <w:pPr>
        <w:spacing w:after="0"/>
        <w:rPr>
          <w:rFonts w:ascii="Times New Roman" w:hAnsi="Times New Roman" w:cs="Times New Roman"/>
          <w:sz w:val="24"/>
        </w:rPr>
      </w:pPr>
      <w:r>
        <w:rPr>
          <w:rFonts w:ascii="Times New Roman" w:hAnsi="Times New Roman" w:cs="Times New Roman"/>
          <w:sz w:val="24"/>
        </w:rPr>
        <w:t>W</w:t>
      </w:r>
      <w:r w:rsidR="007729C1">
        <w:rPr>
          <w:rFonts w:ascii="Times New Roman" w:hAnsi="Times New Roman" w:cs="Times New Roman"/>
          <w:sz w:val="24"/>
        </w:rPr>
        <w:t>hile every community’s situation is unique, there are commonalities that stretch across all communities and every local United Way encounters them in their work. The role of UWNYS, in supporting the network of local United Ways, is particularly focused on these statewide matters whether they are problems that occur in every community, solutions that require systemic action</w:t>
      </w:r>
      <w:r w:rsidR="007F4D13">
        <w:rPr>
          <w:rFonts w:ascii="Times New Roman" w:hAnsi="Times New Roman" w:cs="Times New Roman"/>
          <w:sz w:val="24"/>
        </w:rPr>
        <w:t xml:space="preserve"> </w:t>
      </w:r>
      <w:r w:rsidR="007729C1">
        <w:rPr>
          <w:rFonts w:ascii="Times New Roman" w:hAnsi="Times New Roman" w:cs="Times New Roman"/>
          <w:sz w:val="24"/>
        </w:rPr>
        <w:t>or issues that require statewide advocacy. Our policy positions</w:t>
      </w:r>
      <w:r>
        <w:rPr>
          <w:rFonts w:ascii="Times New Roman" w:hAnsi="Times New Roman" w:cs="Times New Roman"/>
          <w:sz w:val="24"/>
        </w:rPr>
        <w:t xml:space="preserve"> </w:t>
      </w:r>
      <w:r w:rsidR="007729C1">
        <w:rPr>
          <w:rFonts w:ascii="Times New Roman" w:hAnsi="Times New Roman" w:cs="Times New Roman"/>
          <w:sz w:val="24"/>
        </w:rPr>
        <w:t>address these statewide and system</w:t>
      </w:r>
      <w:r w:rsidR="00654591">
        <w:rPr>
          <w:rFonts w:ascii="Times New Roman" w:hAnsi="Times New Roman" w:cs="Times New Roman"/>
          <w:sz w:val="24"/>
        </w:rPr>
        <w:t>ic</w:t>
      </w:r>
      <w:r w:rsidR="007729C1">
        <w:rPr>
          <w:rFonts w:ascii="Times New Roman" w:hAnsi="Times New Roman" w:cs="Times New Roman"/>
          <w:sz w:val="24"/>
        </w:rPr>
        <w:t xml:space="preserve"> issues. </w:t>
      </w:r>
      <w:r>
        <w:rPr>
          <w:rFonts w:ascii="Times New Roman" w:hAnsi="Times New Roman" w:cs="Times New Roman"/>
          <w:sz w:val="24"/>
        </w:rPr>
        <w:t>Below are outlined the major statewide system and policy issues.</w:t>
      </w:r>
    </w:p>
    <w:p w14:paraId="41C8F396" w14:textId="77777777" w:rsidR="007729C1" w:rsidRDefault="007729C1" w:rsidP="74E74CC0">
      <w:pPr>
        <w:spacing w:after="0"/>
        <w:rPr>
          <w:rFonts w:ascii="Times New Roman" w:hAnsi="Times New Roman" w:cs="Times New Roman"/>
          <w:sz w:val="24"/>
          <w:szCs w:val="24"/>
        </w:rPr>
      </w:pPr>
    </w:p>
    <w:p w14:paraId="066E0535" w14:textId="54E54DFB" w:rsidR="74E74CC0" w:rsidRDefault="5E2A0DFF" w:rsidP="5E2A0DFF">
      <w:pPr>
        <w:jc w:val="both"/>
        <w:rPr>
          <w:rFonts w:ascii="Times New Roman" w:eastAsia="Times New Roman" w:hAnsi="Times New Roman" w:cs="Times New Roman"/>
          <w:sz w:val="24"/>
          <w:szCs w:val="24"/>
          <w:highlight w:val="yellow"/>
        </w:rPr>
      </w:pPr>
      <w:r w:rsidRPr="5E2A0DFF">
        <w:rPr>
          <w:rFonts w:ascii="Times New Roman" w:eastAsia="Times New Roman" w:hAnsi="Times New Roman" w:cs="Times New Roman"/>
          <w:sz w:val="24"/>
          <w:szCs w:val="24"/>
        </w:rPr>
        <w:t xml:space="preserve">United Ways across the state work to address critical community needs and support the building blocks for good quality of life for all:  health, education, and financial stability.  During 2018 United Ways Across New York State: </w:t>
      </w:r>
    </w:p>
    <w:p w14:paraId="41B642CF" w14:textId="7BEE2677" w:rsidR="74E74CC0" w:rsidRDefault="5E2A0DFF" w:rsidP="5E2A0DFF">
      <w:pPr>
        <w:pStyle w:val="ListParagraph"/>
        <w:numPr>
          <w:ilvl w:val="0"/>
          <w:numId w:val="4"/>
        </w:numPr>
        <w:rPr>
          <w:sz w:val="24"/>
          <w:szCs w:val="24"/>
        </w:rPr>
      </w:pPr>
      <w:r w:rsidRPr="5E2A0DFF">
        <w:rPr>
          <w:rFonts w:ascii="Times New Roman" w:eastAsia="Times New Roman" w:hAnsi="Times New Roman" w:cs="Times New Roman"/>
          <w:sz w:val="24"/>
          <w:szCs w:val="24"/>
        </w:rPr>
        <w:t>Raised $162 million in charitable dollars, grants and other sources for special initiatives and community grants primarily focused on access to health, childhood success, youth success and/or economic mobility.</w:t>
      </w:r>
    </w:p>
    <w:p w14:paraId="77522DE3" w14:textId="6B328BF7" w:rsidR="74E74CC0" w:rsidRDefault="5E2A0DFF" w:rsidP="5E2A0DFF">
      <w:pPr>
        <w:pStyle w:val="ListParagraph"/>
        <w:numPr>
          <w:ilvl w:val="0"/>
          <w:numId w:val="4"/>
        </w:numPr>
        <w:rPr>
          <w:sz w:val="24"/>
          <w:szCs w:val="24"/>
        </w:rPr>
      </w:pPr>
      <w:r w:rsidRPr="5E2A0DFF">
        <w:rPr>
          <w:rFonts w:ascii="Times New Roman" w:eastAsia="Times New Roman" w:hAnsi="Times New Roman" w:cs="Times New Roman"/>
          <w:sz w:val="24"/>
          <w:szCs w:val="24"/>
        </w:rPr>
        <w:t>Supported 130,000+ children achieve developmental milestones, obtain literacy support, or enroll in high-quality child care.</w:t>
      </w:r>
    </w:p>
    <w:p w14:paraId="49E0A4E9" w14:textId="16B5B0F6" w:rsidR="5E2A0DFF" w:rsidRDefault="5E2A0DFF" w:rsidP="5E2A0DFF">
      <w:pPr>
        <w:pStyle w:val="ListParagraph"/>
        <w:numPr>
          <w:ilvl w:val="0"/>
          <w:numId w:val="4"/>
        </w:numPr>
        <w:rPr>
          <w:sz w:val="24"/>
          <w:szCs w:val="24"/>
        </w:rPr>
      </w:pPr>
      <w:r w:rsidRPr="5E2A0DFF">
        <w:rPr>
          <w:rFonts w:ascii="Times New Roman" w:eastAsia="Times New Roman" w:hAnsi="Times New Roman" w:cs="Times New Roman"/>
          <w:sz w:val="24"/>
          <w:szCs w:val="24"/>
        </w:rPr>
        <w:t>50,000 individuals engaged in job skills training or other programs designed to increase their disposable income by accessing benefits and/or lowering their costs</w:t>
      </w:r>
    </w:p>
    <w:p w14:paraId="5B861FC2" w14:textId="5C1C3EFE" w:rsidR="74E74CC0" w:rsidRDefault="320AD7D3" w:rsidP="74E74CC0">
      <w:pPr>
        <w:pStyle w:val="ListParagraph"/>
        <w:numPr>
          <w:ilvl w:val="0"/>
          <w:numId w:val="4"/>
        </w:numPr>
        <w:rPr>
          <w:sz w:val="24"/>
          <w:szCs w:val="24"/>
        </w:rPr>
      </w:pPr>
      <w:r w:rsidRPr="320AD7D3">
        <w:rPr>
          <w:rFonts w:ascii="Times New Roman" w:eastAsia="Times New Roman" w:hAnsi="Times New Roman" w:cs="Times New Roman"/>
          <w:sz w:val="24"/>
          <w:szCs w:val="24"/>
        </w:rPr>
        <w:t>Successfully advocated for the permanence of the federal VITA program.</w:t>
      </w:r>
    </w:p>
    <w:p w14:paraId="4DE8F4AC" w14:textId="5F98BAD1" w:rsidR="74E74CC0" w:rsidRDefault="5E2A0DFF" w:rsidP="5E2A0DFF">
      <w:pPr>
        <w:pStyle w:val="ListParagraph"/>
        <w:numPr>
          <w:ilvl w:val="0"/>
          <w:numId w:val="4"/>
        </w:numPr>
        <w:rPr>
          <w:sz w:val="24"/>
          <w:szCs w:val="24"/>
        </w:rPr>
      </w:pPr>
      <w:r w:rsidRPr="5E2A0DFF">
        <w:rPr>
          <w:rFonts w:ascii="Times New Roman" w:eastAsia="Times New Roman" w:hAnsi="Times New Roman" w:cs="Times New Roman"/>
          <w:sz w:val="24"/>
          <w:szCs w:val="24"/>
        </w:rPr>
        <w:t>Leveraged over $48 million in federal tax returns to individuals/families through VITA and/or MyFreeTaxes.</w:t>
      </w:r>
    </w:p>
    <w:p w14:paraId="568CF9F7" w14:textId="68E408A4" w:rsidR="5E2A0DFF" w:rsidRDefault="5E2A0DFF" w:rsidP="5E2A0DFF">
      <w:pPr>
        <w:pStyle w:val="ListParagraph"/>
        <w:numPr>
          <w:ilvl w:val="0"/>
          <w:numId w:val="4"/>
        </w:numPr>
        <w:rPr>
          <w:sz w:val="24"/>
          <w:szCs w:val="24"/>
        </w:rPr>
      </w:pPr>
      <w:r w:rsidRPr="5E2A0DFF">
        <w:rPr>
          <w:rFonts w:ascii="Times New Roman" w:eastAsia="Times New Roman" w:hAnsi="Times New Roman" w:cs="Times New Roman"/>
          <w:sz w:val="24"/>
          <w:szCs w:val="24"/>
        </w:rPr>
        <w:lastRenderedPageBreak/>
        <w:t>400,000 individuals gained access to health care or participated in physical activity and/or healthy food access/nutrition programs</w:t>
      </w:r>
    </w:p>
    <w:p w14:paraId="0BB0D883" w14:textId="7F18648D" w:rsidR="74E74CC0" w:rsidRDefault="5E2A0DFF" w:rsidP="320AD7D3">
      <w:pPr>
        <w:ind w:firstLine="360"/>
        <w:jc w:val="both"/>
      </w:pPr>
      <w:r w:rsidRPr="5E2A0DFF">
        <w:rPr>
          <w:rFonts w:ascii="Times New Roman" w:eastAsia="Times New Roman" w:hAnsi="Times New Roman" w:cs="Times New Roman"/>
          <w:i/>
          <w:iCs/>
          <w:sz w:val="24"/>
          <w:szCs w:val="24"/>
        </w:rPr>
        <w:t>Source:  2019 Global Results Data, United Way Worldwide</w:t>
      </w:r>
    </w:p>
    <w:p w14:paraId="49FCA3A2" w14:textId="417A15FA" w:rsidR="74E74CC0" w:rsidRDefault="320AD7D3" w:rsidP="74E74CC0">
      <w:pPr>
        <w:jc w:val="both"/>
      </w:pPr>
      <w:r w:rsidRPr="320AD7D3">
        <w:rPr>
          <w:rFonts w:ascii="Times New Roman" w:eastAsia="Times New Roman" w:hAnsi="Times New Roman" w:cs="Times New Roman"/>
          <w:sz w:val="24"/>
          <w:szCs w:val="24"/>
        </w:rPr>
        <w:t xml:space="preserve"> United Way of New York State (UWNYS) has engaged in </w:t>
      </w:r>
      <w:proofErr w:type="gramStart"/>
      <w:r w:rsidRPr="320AD7D3">
        <w:rPr>
          <w:rFonts w:ascii="Times New Roman" w:eastAsia="Times New Roman" w:hAnsi="Times New Roman" w:cs="Times New Roman"/>
          <w:sz w:val="24"/>
          <w:szCs w:val="24"/>
        </w:rPr>
        <w:t>a number of</w:t>
      </w:r>
      <w:proofErr w:type="gramEnd"/>
      <w:r w:rsidRPr="320AD7D3">
        <w:rPr>
          <w:rFonts w:ascii="Times New Roman" w:eastAsia="Times New Roman" w:hAnsi="Times New Roman" w:cs="Times New Roman"/>
          <w:sz w:val="24"/>
          <w:szCs w:val="24"/>
        </w:rPr>
        <w:t xml:space="preserve"> exciting initiatives that, in conjunction with the work in local communities, provides a basis for our 2020 Public Policy &amp; State Budget Priorities. Priority requests include:</w:t>
      </w:r>
    </w:p>
    <w:p w14:paraId="108AB2A3" w14:textId="0AFE1AB2" w:rsidR="74E74CC0" w:rsidRDefault="6356A574" w:rsidP="6356A574">
      <w:pPr>
        <w:pStyle w:val="ListParagraph"/>
        <w:numPr>
          <w:ilvl w:val="0"/>
          <w:numId w:val="3"/>
        </w:numPr>
        <w:rPr>
          <w:sz w:val="24"/>
          <w:szCs w:val="24"/>
        </w:rPr>
      </w:pPr>
      <w:r w:rsidRPr="00491689">
        <w:rPr>
          <w:rFonts w:ascii="Times New Roman" w:eastAsia="Times New Roman" w:hAnsi="Times New Roman" w:cs="Times New Roman"/>
          <w:sz w:val="24"/>
          <w:szCs w:val="24"/>
        </w:rPr>
        <w:t>$1.5 million</w:t>
      </w:r>
      <w:r w:rsidRPr="6356A574">
        <w:rPr>
          <w:rFonts w:ascii="Times New Roman" w:eastAsia="Times New Roman" w:hAnsi="Times New Roman" w:cs="Times New Roman"/>
          <w:sz w:val="24"/>
          <w:szCs w:val="24"/>
        </w:rPr>
        <w:t xml:space="preserve"> investment in the state budget to maintain and expand 2-1-1.</w:t>
      </w:r>
    </w:p>
    <w:p w14:paraId="71B263D6" w14:textId="5C234A16" w:rsidR="6356A574" w:rsidRDefault="6356A574" w:rsidP="6356A574">
      <w:pPr>
        <w:pStyle w:val="ListParagraph"/>
        <w:numPr>
          <w:ilvl w:val="0"/>
          <w:numId w:val="3"/>
        </w:numPr>
        <w:rPr>
          <w:sz w:val="24"/>
          <w:szCs w:val="24"/>
        </w:rPr>
      </w:pPr>
      <w:r w:rsidRPr="6356A574">
        <w:rPr>
          <w:rFonts w:ascii="Times New Roman" w:eastAsia="Times New Roman" w:hAnsi="Times New Roman" w:cs="Times New Roman"/>
          <w:sz w:val="24"/>
          <w:szCs w:val="24"/>
        </w:rPr>
        <w:t xml:space="preserve">$500,000 set aside for Disaster Activation of 2-1-1. </w:t>
      </w:r>
    </w:p>
    <w:p w14:paraId="1303E7D1" w14:textId="56CC5D13" w:rsidR="74E74CC0" w:rsidRDefault="320AD7D3" w:rsidP="320AD7D3">
      <w:pPr>
        <w:pStyle w:val="ListParagraph"/>
        <w:numPr>
          <w:ilvl w:val="0"/>
          <w:numId w:val="3"/>
        </w:numPr>
        <w:rPr>
          <w:sz w:val="24"/>
          <w:szCs w:val="24"/>
        </w:rPr>
      </w:pPr>
      <w:r w:rsidRPr="320AD7D3">
        <w:rPr>
          <w:rFonts w:ascii="Times New Roman" w:eastAsia="Times New Roman" w:hAnsi="Times New Roman" w:cs="Times New Roman"/>
          <w:sz w:val="24"/>
          <w:szCs w:val="24"/>
        </w:rPr>
        <w:t>Expanding and strengthening New York’s and United States' working family tax credits</w:t>
      </w:r>
    </w:p>
    <w:p w14:paraId="4F3779F6" w14:textId="42D8195E" w:rsidR="74E74CC0" w:rsidRDefault="320AD7D3" w:rsidP="74E74CC0">
      <w:pPr>
        <w:pStyle w:val="ListParagraph"/>
        <w:numPr>
          <w:ilvl w:val="1"/>
          <w:numId w:val="3"/>
        </w:numPr>
        <w:rPr>
          <w:sz w:val="24"/>
          <w:szCs w:val="24"/>
        </w:rPr>
      </w:pPr>
      <w:r w:rsidRPr="320AD7D3">
        <w:rPr>
          <w:rFonts w:ascii="Times New Roman" w:eastAsia="Times New Roman" w:hAnsi="Times New Roman" w:cs="Times New Roman"/>
          <w:sz w:val="24"/>
          <w:szCs w:val="24"/>
        </w:rPr>
        <w:t>Expand the Empire State Child Credit and Federal Child Credit to cover children under 4</w:t>
      </w:r>
    </w:p>
    <w:p w14:paraId="1A906130" w14:textId="17321450" w:rsidR="74E74CC0" w:rsidRDefault="320AD7D3" w:rsidP="320AD7D3">
      <w:pPr>
        <w:pStyle w:val="ListParagraph"/>
        <w:numPr>
          <w:ilvl w:val="1"/>
          <w:numId w:val="3"/>
        </w:numPr>
        <w:rPr>
          <w:sz w:val="24"/>
          <w:szCs w:val="24"/>
        </w:rPr>
      </w:pPr>
      <w:r w:rsidRPr="320AD7D3">
        <w:rPr>
          <w:rFonts w:ascii="Times New Roman" w:eastAsia="Times New Roman" w:hAnsi="Times New Roman" w:cs="Times New Roman"/>
          <w:sz w:val="24"/>
          <w:szCs w:val="24"/>
        </w:rPr>
        <w:t>Increase from 30% to 40% federal credit paid to families under the NY EITC</w:t>
      </w:r>
    </w:p>
    <w:p w14:paraId="13F01400" w14:textId="7E6B22A7" w:rsidR="74E74CC0" w:rsidRDefault="320AD7D3" w:rsidP="320AD7D3">
      <w:pPr>
        <w:pStyle w:val="ListParagraph"/>
        <w:numPr>
          <w:ilvl w:val="1"/>
          <w:numId w:val="3"/>
        </w:numPr>
        <w:rPr>
          <w:sz w:val="24"/>
          <w:szCs w:val="24"/>
        </w:rPr>
      </w:pPr>
      <w:r w:rsidRPr="320AD7D3">
        <w:rPr>
          <w:rFonts w:ascii="Times New Roman" w:eastAsia="Times New Roman" w:hAnsi="Times New Roman" w:cs="Times New Roman"/>
          <w:sz w:val="24"/>
          <w:szCs w:val="24"/>
        </w:rPr>
        <w:t>Double the amount of child care expenses creditable under the NY CDCTC</w:t>
      </w:r>
    </w:p>
    <w:p w14:paraId="697465B9" w14:textId="066314C8" w:rsidR="74E74CC0" w:rsidRDefault="320AD7D3" w:rsidP="74E74CC0">
      <w:pPr>
        <w:pStyle w:val="ListParagraph"/>
        <w:numPr>
          <w:ilvl w:val="1"/>
          <w:numId w:val="3"/>
        </w:numPr>
        <w:rPr>
          <w:sz w:val="24"/>
          <w:szCs w:val="24"/>
        </w:rPr>
      </w:pPr>
      <w:r w:rsidRPr="320AD7D3">
        <w:rPr>
          <w:rFonts w:ascii="Times New Roman" w:eastAsia="Times New Roman" w:hAnsi="Times New Roman" w:cs="Times New Roman"/>
          <w:sz w:val="24"/>
          <w:szCs w:val="24"/>
        </w:rPr>
        <w:t>Expand state and federal EITC to include workers aged 21-24.</w:t>
      </w:r>
    </w:p>
    <w:p w14:paraId="12E74954" w14:textId="73927798" w:rsidR="74E74CC0" w:rsidRDefault="320AD7D3" w:rsidP="320AD7D3">
      <w:pPr>
        <w:pStyle w:val="ListParagraph"/>
        <w:numPr>
          <w:ilvl w:val="0"/>
          <w:numId w:val="3"/>
        </w:numPr>
        <w:rPr>
          <w:sz w:val="24"/>
          <w:szCs w:val="24"/>
        </w:rPr>
      </w:pPr>
      <w:r w:rsidRPr="320AD7D3">
        <w:rPr>
          <w:rFonts w:ascii="Times New Roman" w:eastAsia="Times New Roman" w:hAnsi="Times New Roman" w:cs="Times New Roman"/>
          <w:sz w:val="24"/>
          <w:szCs w:val="24"/>
        </w:rPr>
        <w:t>Increasing access to high-quality, affordable child care.</w:t>
      </w:r>
    </w:p>
    <w:p w14:paraId="067ACDB7" w14:textId="10F4203D" w:rsidR="320AD7D3" w:rsidRDefault="320AD7D3" w:rsidP="320AD7D3">
      <w:pPr>
        <w:pStyle w:val="ListParagraph"/>
        <w:numPr>
          <w:ilvl w:val="0"/>
          <w:numId w:val="3"/>
        </w:numPr>
        <w:rPr>
          <w:sz w:val="24"/>
          <w:szCs w:val="24"/>
        </w:rPr>
      </w:pPr>
      <w:r w:rsidRPr="320AD7D3">
        <w:rPr>
          <w:rFonts w:ascii="Times New Roman" w:eastAsia="Times New Roman" w:hAnsi="Times New Roman" w:cs="Times New Roman"/>
          <w:sz w:val="24"/>
          <w:szCs w:val="24"/>
        </w:rPr>
        <w:t>Establish a state and federal Universal Charitable Tax Deduction.</w:t>
      </w:r>
    </w:p>
    <w:p w14:paraId="37965FD9" w14:textId="77777777" w:rsidR="007729C1" w:rsidRPr="009E31CB" w:rsidRDefault="007729C1" w:rsidP="007729C1">
      <w:pPr>
        <w:spacing w:after="0"/>
        <w:rPr>
          <w:rFonts w:ascii="Times New Roman" w:hAnsi="Times New Roman" w:cs="Times New Roman"/>
          <w:b/>
          <w:sz w:val="24"/>
        </w:rPr>
      </w:pPr>
      <w:r w:rsidRPr="009E31CB">
        <w:rPr>
          <w:rFonts w:ascii="Times New Roman" w:hAnsi="Times New Roman" w:cs="Times New Roman"/>
          <w:b/>
          <w:sz w:val="24"/>
        </w:rPr>
        <w:t xml:space="preserve">Statewide </w:t>
      </w:r>
      <w:r w:rsidR="0045615E" w:rsidRPr="009E31CB">
        <w:rPr>
          <w:rFonts w:ascii="Times New Roman" w:hAnsi="Times New Roman" w:cs="Times New Roman"/>
          <w:b/>
          <w:sz w:val="24"/>
        </w:rPr>
        <w:t>Context/</w:t>
      </w:r>
      <w:r w:rsidRPr="009E31CB">
        <w:rPr>
          <w:rFonts w:ascii="Times New Roman" w:hAnsi="Times New Roman" w:cs="Times New Roman"/>
          <w:b/>
          <w:sz w:val="24"/>
        </w:rPr>
        <w:t>Issues</w:t>
      </w:r>
    </w:p>
    <w:p w14:paraId="72A3D3EC" w14:textId="77777777" w:rsidR="00654591" w:rsidRDefault="00654591" w:rsidP="007729C1">
      <w:pPr>
        <w:spacing w:after="0"/>
        <w:rPr>
          <w:rFonts w:ascii="Times New Roman" w:hAnsi="Times New Roman" w:cs="Times New Roman"/>
          <w:sz w:val="24"/>
        </w:rPr>
      </w:pPr>
    </w:p>
    <w:p w14:paraId="5BC93F15" w14:textId="77777777" w:rsidR="007729C1" w:rsidRPr="009E31CB" w:rsidRDefault="007729C1" w:rsidP="007729C1">
      <w:pPr>
        <w:spacing w:after="0"/>
        <w:rPr>
          <w:rFonts w:ascii="Times New Roman" w:hAnsi="Times New Roman" w:cs="Times New Roman"/>
          <w:b/>
          <w:i/>
          <w:sz w:val="24"/>
        </w:rPr>
      </w:pPr>
      <w:r w:rsidRPr="009E31CB">
        <w:rPr>
          <w:rFonts w:ascii="Times New Roman" w:hAnsi="Times New Roman" w:cs="Times New Roman"/>
          <w:b/>
          <w:i/>
          <w:sz w:val="24"/>
        </w:rPr>
        <w:t>ALICE</w:t>
      </w:r>
      <w:r w:rsidR="00D026B3">
        <w:rPr>
          <w:rFonts w:ascii="Times New Roman" w:hAnsi="Times New Roman" w:cs="Times New Roman"/>
          <w:b/>
          <w:i/>
          <w:sz w:val="24"/>
        </w:rPr>
        <w:t xml:space="preserve">; </w:t>
      </w:r>
      <w:r w:rsidRPr="009E31CB">
        <w:rPr>
          <w:rFonts w:ascii="Times New Roman" w:hAnsi="Times New Roman" w:cs="Times New Roman"/>
          <w:b/>
          <w:i/>
          <w:sz w:val="24"/>
        </w:rPr>
        <w:t>a better understanding of need and options</w:t>
      </w:r>
    </w:p>
    <w:p w14:paraId="3F89B9C4" w14:textId="77777777" w:rsidR="007729C1" w:rsidRDefault="007729C1" w:rsidP="007729C1">
      <w:pPr>
        <w:spacing w:after="0"/>
        <w:rPr>
          <w:rFonts w:ascii="Times New Roman" w:hAnsi="Times New Roman" w:cs="Times New Roman"/>
          <w:sz w:val="24"/>
        </w:rPr>
      </w:pPr>
      <w:r>
        <w:rPr>
          <w:rFonts w:ascii="Times New Roman" w:hAnsi="Times New Roman" w:cs="Times New Roman"/>
          <w:sz w:val="24"/>
        </w:rPr>
        <w:t xml:space="preserve">Local United Ways are leaders in understanding community challenges and seeking information to help to understand those problems. Our goal is to help families and individuals achieve and maintain independence. We know that challenges around employment, housing, food security, child care and transportation are the most critical in most communities. </w:t>
      </w:r>
    </w:p>
    <w:p w14:paraId="0D0B940D" w14:textId="77777777" w:rsidR="007729C1" w:rsidRDefault="007729C1" w:rsidP="007729C1">
      <w:pPr>
        <w:spacing w:after="0"/>
        <w:rPr>
          <w:rFonts w:ascii="Times New Roman" w:hAnsi="Times New Roman" w:cs="Times New Roman"/>
          <w:sz w:val="24"/>
        </w:rPr>
      </w:pPr>
    </w:p>
    <w:p w14:paraId="1CC6A255" w14:textId="0649E43F" w:rsidR="007729C1" w:rsidRDefault="320AD7D3" w:rsidP="320AD7D3">
      <w:pPr>
        <w:spacing w:after="0"/>
        <w:rPr>
          <w:rFonts w:ascii="Times New Roman" w:hAnsi="Times New Roman" w:cs="Times New Roman"/>
          <w:sz w:val="24"/>
          <w:szCs w:val="24"/>
        </w:rPr>
      </w:pPr>
      <w:r w:rsidRPr="320AD7D3">
        <w:rPr>
          <w:rFonts w:ascii="Times New Roman" w:hAnsi="Times New Roman" w:cs="Times New Roman"/>
          <w:sz w:val="24"/>
          <w:szCs w:val="24"/>
        </w:rPr>
        <w:t xml:space="preserve">To better understand these challenges and to bring consistency to the approach, the state United Way network and UWNYS undertook a statewide study in 2016 of people living below a defined survival level. It includes people below the federal poverty level, but also looks at those who are working and whose salaries do not provide </w:t>
      </w:r>
      <w:proofErr w:type="gramStart"/>
      <w:r w:rsidRPr="320AD7D3">
        <w:rPr>
          <w:rFonts w:ascii="Times New Roman" w:hAnsi="Times New Roman" w:cs="Times New Roman"/>
          <w:sz w:val="24"/>
          <w:szCs w:val="24"/>
        </w:rPr>
        <w:t>sufficient</w:t>
      </w:r>
      <w:proofErr w:type="gramEnd"/>
      <w:r w:rsidRPr="320AD7D3">
        <w:rPr>
          <w:rFonts w:ascii="Times New Roman" w:hAnsi="Times New Roman" w:cs="Times New Roman"/>
          <w:sz w:val="24"/>
          <w:szCs w:val="24"/>
        </w:rPr>
        <w:t xml:space="preserve"> income for them to pay for the basic necessities of housing, food, child care, health care and transportation. We term this group ALICE (Asset Limited, Income Constrained, Employed).</w:t>
      </w:r>
    </w:p>
    <w:p w14:paraId="0E27B00A" w14:textId="77777777" w:rsidR="009E31CB" w:rsidRDefault="009E31CB" w:rsidP="007729C1">
      <w:pPr>
        <w:spacing w:after="0"/>
        <w:rPr>
          <w:rFonts w:ascii="Times New Roman" w:hAnsi="Times New Roman" w:cs="Times New Roman"/>
          <w:sz w:val="24"/>
        </w:rPr>
      </w:pPr>
    </w:p>
    <w:p w14:paraId="79C87E77" w14:textId="132E2D56" w:rsidR="00654591" w:rsidRDefault="320AD7D3" w:rsidP="320AD7D3">
      <w:pPr>
        <w:spacing w:after="0"/>
        <w:rPr>
          <w:rFonts w:ascii="Times New Roman" w:hAnsi="Times New Roman" w:cs="Times New Roman"/>
          <w:sz w:val="24"/>
          <w:szCs w:val="24"/>
        </w:rPr>
      </w:pPr>
      <w:r w:rsidRPr="320AD7D3">
        <w:rPr>
          <w:rFonts w:ascii="Times New Roman" w:hAnsi="Times New Roman" w:cs="Times New Roman"/>
          <w:sz w:val="24"/>
          <w:szCs w:val="24"/>
        </w:rPr>
        <w:t>The ALICE Report indicates, among many findings, that 44% of New York households are below the ALICE survival threshold, or the income level that will pay for necessities. The Report provides key context for our approach to policy. Programs and services should assist the families and individuals struggling below the ALICE threshold.</w:t>
      </w:r>
    </w:p>
    <w:p w14:paraId="60061E4C" w14:textId="3FCD484F" w:rsidR="007729C1" w:rsidRDefault="007729C1" w:rsidP="008E29B2">
      <w:pPr>
        <w:spacing w:after="0"/>
        <w:rPr>
          <w:rFonts w:ascii="Times New Roman" w:hAnsi="Times New Roman" w:cs="Times New Roman"/>
          <w:sz w:val="24"/>
        </w:rPr>
      </w:pPr>
    </w:p>
    <w:p w14:paraId="415BCC40" w14:textId="77777777" w:rsidR="00491689" w:rsidRDefault="00491689" w:rsidP="008E29B2">
      <w:pPr>
        <w:spacing w:after="0"/>
        <w:rPr>
          <w:rFonts w:ascii="Times New Roman" w:hAnsi="Times New Roman" w:cs="Times New Roman"/>
          <w:sz w:val="24"/>
        </w:rPr>
      </w:pPr>
    </w:p>
    <w:p w14:paraId="62C95375" w14:textId="77777777" w:rsidR="00654591" w:rsidRPr="009E31CB" w:rsidRDefault="00654591" w:rsidP="008E29B2">
      <w:pPr>
        <w:spacing w:after="0"/>
        <w:rPr>
          <w:rFonts w:ascii="Times New Roman" w:hAnsi="Times New Roman" w:cs="Times New Roman"/>
          <w:b/>
          <w:i/>
          <w:sz w:val="24"/>
        </w:rPr>
      </w:pPr>
      <w:r w:rsidRPr="009E31CB">
        <w:rPr>
          <w:rFonts w:ascii="Times New Roman" w:hAnsi="Times New Roman" w:cs="Times New Roman"/>
          <w:b/>
          <w:i/>
          <w:sz w:val="24"/>
        </w:rPr>
        <w:lastRenderedPageBreak/>
        <w:t>2-1-1; access to services</w:t>
      </w:r>
    </w:p>
    <w:p w14:paraId="239E4B65" w14:textId="3B385C79" w:rsidR="007729C1" w:rsidRDefault="320AD7D3" w:rsidP="320AD7D3">
      <w:pPr>
        <w:spacing w:after="0"/>
        <w:rPr>
          <w:rFonts w:ascii="Times New Roman" w:hAnsi="Times New Roman" w:cs="Times New Roman"/>
          <w:sz w:val="24"/>
          <w:szCs w:val="24"/>
        </w:rPr>
      </w:pPr>
      <w:r w:rsidRPr="320AD7D3">
        <w:rPr>
          <w:rFonts w:ascii="Times New Roman" w:hAnsi="Times New Roman" w:cs="Times New Roman"/>
          <w:sz w:val="24"/>
          <w:szCs w:val="24"/>
        </w:rPr>
        <w:t>Another key example is 2-1-1 – that easy-to-remember, three-digit number - which addresses the need of every consumer to have a simple path of entry into a complex human service system. UWNYS and its affiliate, 2-1-1 New York, Inc., manage this statewide information and referral system and seek state support for 2-1-1 to complement the investment of local United Ways and local government.</w:t>
      </w:r>
    </w:p>
    <w:p w14:paraId="44EAFD9C" w14:textId="77777777" w:rsidR="00986D91" w:rsidRDefault="00986D91" w:rsidP="007729C1">
      <w:pPr>
        <w:spacing w:after="0"/>
        <w:rPr>
          <w:rFonts w:ascii="Times New Roman" w:hAnsi="Times New Roman" w:cs="Times New Roman"/>
          <w:sz w:val="24"/>
        </w:rPr>
      </w:pPr>
    </w:p>
    <w:p w14:paraId="5063D703" w14:textId="77777777" w:rsidR="00986D91" w:rsidRDefault="00986D91" w:rsidP="007729C1">
      <w:pPr>
        <w:spacing w:after="0"/>
        <w:rPr>
          <w:rFonts w:ascii="Times New Roman" w:hAnsi="Times New Roman" w:cs="Times New Roman"/>
          <w:sz w:val="24"/>
        </w:rPr>
      </w:pPr>
      <w:r w:rsidRPr="00283748">
        <w:rPr>
          <w:rFonts w:ascii="Times New Roman" w:hAnsi="Times New Roman" w:cs="Times New Roman"/>
          <w:sz w:val="24"/>
        </w:rPr>
        <w:t>2-1-1 is available to every New Yorker, 24 hours a day, 7 days a week, 365 days a year.</w:t>
      </w:r>
    </w:p>
    <w:p w14:paraId="4B94D5A5" w14:textId="77777777" w:rsidR="009E31CB" w:rsidRDefault="009E31CB" w:rsidP="007729C1">
      <w:pPr>
        <w:spacing w:after="0"/>
        <w:rPr>
          <w:rFonts w:ascii="Times New Roman" w:hAnsi="Times New Roman" w:cs="Times New Roman"/>
          <w:sz w:val="24"/>
        </w:rPr>
      </w:pPr>
    </w:p>
    <w:p w14:paraId="17E3C654" w14:textId="77777777" w:rsidR="009E31CB" w:rsidRDefault="009E31CB" w:rsidP="007729C1">
      <w:pPr>
        <w:spacing w:after="0"/>
        <w:rPr>
          <w:rFonts w:ascii="Times New Roman" w:hAnsi="Times New Roman" w:cs="Times New Roman"/>
          <w:sz w:val="24"/>
        </w:rPr>
      </w:pPr>
      <w:r>
        <w:rPr>
          <w:rFonts w:ascii="Times New Roman" w:hAnsi="Times New Roman" w:cs="Times New Roman"/>
          <w:sz w:val="24"/>
        </w:rPr>
        <w:t xml:space="preserve">The 2-1-1 system not only is a service to consumers, but it also provides current data on the services that New Yorkers are seeking. </w:t>
      </w:r>
      <w:r w:rsidR="00986D91">
        <w:rPr>
          <w:rFonts w:ascii="Times New Roman" w:hAnsi="Times New Roman" w:cs="Times New Roman"/>
          <w:sz w:val="24"/>
        </w:rPr>
        <w:t xml:space="preserve">2-1-1 Counts </w:t>
      </w:r>
      <w:r>
        <w:rPr>
          <w:rFonts w:ascii="Times New Roman" w:hAnsi="Times New Roman" w:cs="Times New Roman"/>
          <w:sz w:val="24"/>
        </w:rPr>
        <w:t>data can be viewed on a statewide, county or community level. Further, the 2-1-1 data bases of services, with over 69,000 programs in almost 30,000 public and private agencies, is our most complete listing of services</w:t>
      </w:r>
      <w:r w:rsidR="00D66B3E">
        <w:rPr>
          <w:rFonts w:ascii="Times New Roman" w:hAnsi="Times New Roman" w:cs="Times New Roman"/>
          <w:sz w:val="24"/>
        </w:rPr>
        <w:t xml:space="preserve"> in </w:t>
      </w:r>
      <w:r>
        <w:rPr>
          <w:rFonts w:ascii="Times New Roman" w:hAnsi="Times New Roman" w:cs="Times New Roman"/>
          <w:sz w:val="24"/>
        </w:rPr>
        <w:t>the community</w:t>
      </w:r>
      <w:r w:rsidR="00D66B3E">
        <w:rPr>
          <w:rFonts w:ascii="Times New Roman" w:hAnsi="Times New Roman" w:cs="Times New Roman"/>
          <w:sz w:val="24"/>
        </w:rPr>
        <w:t>.</w:t>
      </w:r>
    </w:p>
    <w:p w14:paraId="3DEEC669" w14:textId="77777777" w:rsidR="007729C1" w:rsidRDefault="007729C1" w:rsidP="007729C1">
      <w:pPr>
        <w:spacing w:after="0"/>
        <w:rPr>
          <w:rFonts w:ascii="Times New Roman" w:hAnsi="Times New Roman" w:cs="Times New Roman"/>
          <w:sz w:val="24"/>
        </w:rPr>
      </w:pPr>
    </w:p>
    <w:p w14:paraId="0FFC4685" w14:textId="77777777" w:rsidR="008E29B2" w:rsidRPr="009E31CB" w:rsidRDefault="00654591" w:rsidP="008E29B2">
      <w:pPr>
        <w:spacing w:after="0"/>
        <w:rPr>
          <w:rFonts w:ascii="Times New Roman" w:hAnsi="Times New Roman" w:cs="Times New Roman"/>
          <w:b/>
          <w:i/>
          <w:sz w:val="24"/>
        </w:rPr>
      </w:pPr>
      <w:r w:rsidRPr="009E31CB">
        <w:rPr>
          <w:rFonts w:ascii="Times New Roman" w:hAnsi="Times New Roman" w:cs="Times New Roman"/>
          <w:b/>
          <w:i/>
          <w:sz w:val="24"/>
        </w:rPr>
        <w:t>Anti-poverty; ESPRI and United Way leadership</w:t>
      </w:r>
    </w:p>
    <w:p w14:paraId="451340FE" w14:textId="77777777" w:rsidR="00654591" w:rsidRDefault="00D66B3E" w:rsidP="008E29B2">
      <w:pPr>
        <w:spacing w:after="0"/>
        <w:rPr>
          <w:rFonts w:ascii="Times New Roman" w:hAnsi="Times New Roman" w:cs="Times New Roman"/>
          <w:sz w:val="24"/>
        </w:rPr>
      </w:pPr>
      <w:r>
        <w:rPr>
          <w:rFonts w:ascii="Times New Roman" w:hAnsi="Times New Roman" w:cs="Times New Roman"/>
          <w:sz w:val="24"/>
        </w:rPr>
        <w:t xml:space="preserve">The Empire State Poverty Reduction Initiative (ESPRI) is a major state program in 16 cities aimed at reducing poverty. Developed in Rochester under the leadership of the United Way, the model engages the whole community, is committed to using best available data, consults people who are or have been in poverty, employs proven service methods, and commits to measuring results. </w:t>
      </w:r>
    </w:p>
    <w:p w14:paraId="3656B9AB" w14:textId="77777777" w:rsidR="00986D91" w:rsidRDefault="00986D91" w:rsidP="008E29B2">
      <w:pPr>
        <w:spacing w:after="0"/>
        <w:rPr>
          <w:rFonts w:ascii="Times New Roman" w:hAnsi="Times New Roman" w:cs="Times New Roman"/>
          <w:sz w:val="24"/>
        </w:rPr>
      </w:pPr>
    </w:p>
    <w:p w14:paraId="1295DC21" w14:textId="77777777" w:rsidR="00D66B3E" w:rsidRDefault="00D66B3E" w:rsidP="008E29B2">
      <w:pPr>
        <w:spacing w:after="0"/>
        <w:rPr>
          <w:rFonts w:ascii="Times New Roman" w:hAnsi="Times New Roman" w:cs="Times New Roman"/>
          <w:sz w:val="24"/>
        </w:rPr>
      </w:pPr>
      <w:r>
        <w:rPr>
          <w:rFonts w:ascii="Times New Roman" w:hAnsi="Times New Roman" w:cs="Times New Roman"/>
          <w:sz w:val="24"/>
        </w:rPr>
        <w:t>The program is under the auspices of the local mayor or senior elected official, but each site has selected a nonprofit to fill the coordinating role. In nine of the 16 communities, the local United Way has been chosen to lead the project. This underscores the trust in United Way as a trusted local convener and thought leader with the capacity to deliver change.</w:t>
      </w:r>
    </w:p>
    <w:p w14:paraId="45FB0818" w14:textId="77777777" w:rsidR="00D66B3E" w:rsidRDefault="00D66B3E" w:rsidP="008E29B2">
      <w:pPr>
        <w:spacing w:after="0"/>
        <w:rPr>
          <w:rFonts w:ascii="Times New Roman" w:hAnsi="Times New Roman" w:cs="Times New Roman"/>
          <w:sz w:val="24"/>
        </w:rPr>
      </w:pPr>
    </w:p>
    <w:p w14:paraId="6868441B" w14:textId="77777777" w:rsidR="008C34D5" w:rsidRPr="008C34D5" w:rsidRDefault="008C34D5" w:rsidP="008E29B2">
      <w:pPr>
        <w:spacing w:after="0"/>
        <w:rPr>
          <w:rFonts w:ascii="Times New Roman" w:hAnsi="Times New Roman" w:cs="Times New Roman"/>
          <w:b/>
          <w:i/>
          <w:sz w:val="24"/>
        </w:rPr>
      </w:pPr>
      <w:r w:rsidRPr="008C34D5">
        <w:rPr>
          <w:rFonts w:ascii="Times New Roman" w:hAnsi="Times New Roman" w:cs="Times New Roman"/>
          <w:b/>
          <w:i/>
          <w:sz w:val="24"/>
        </w:rPr>
        <w:t>United Way; a leader and advocate for community solutions</w:t>
      </w:r>
    </w:p>
    <w:p w14:paraId="54757040" w14:textId="11A99D29" w:rsidR="00986D91" w:rsidRDefault="320AD7D3" w:rsidP="320AD7D3">
      <w:pPr>
        <w:spacing w:after="0"/>
        <w:rPr>
          <w:rFonts w:ascii="Times New Roman" w:hAnsi="Times New Roman" w:cs="Times New Roman"/>
          <w:sz w:val="24"/>
          <w:szCs w:val="24"/>
        </w:rPr>
      </w:pPr>
      <w:r w:rsidRPr="320AD7D3">
        <w:rPr>
          <w:rFonts w:ascii="Times New Roman" w:hAnsi="Times New Roman" w:cs="Times New Roman"/>
          <w:sz w:val="24"/>
          <w:szCs w:val="24"/>
        </w:rPr>
        <w:t xml:space="preserve">The ALICE project, 2-1-1, and ESPRI are notable examples of United Way of New York State’s role in helping and leading communities to find solutions to complex local problems. The notion of </w:t>
      </w:r>
      <w:r w:rsidR="00491689" w:rsidRPr="320AD7D3">
        <w:rPr>
          <w:rFonts w:ascii="Times New Roman" w:hAnsi="Times New Roman" w:cs="Times New Roman"/>
          <w:sz w:val="24"/>
          <w:szCs w:val="24"/>
        </w:rPr>
        <w:t>communities working</w:t>
      </w:r>
      <w:r w:rsidRPr="320AD7D3">
        <w:rPr>
          <w:rFonts w:ascii="Times New Roman" w:hAnsi="Times New Roman" w:cs="Times New Roman"/>
          <w:sz w:val="24"/>
          <w:szCs w:val="24"/>
        </w:rPr>
        <w:t xml:space="preserve"> collaboratively to define problems, develop responses and raise resources to implement those responses, is and always has been central to United Way’s purpose. </w:t>
      </w:r>
    </w:p>
    <w:p w14:paraId="049F31CB" w14:textId="77777777" w:rsidR="00986D91" w:rsidRDefault="00986D91" w:rsidP="008C34D5">
      <w:pPr>
        <w:spacing w:after="0"/>
        <w:rPr>
          <w:rFonts w:ascii="Times New Roman" w:hAnsi="Times New Roman" w:cs="Times New Roman"/>
          <w:sz w:val="24"/>
        </w:rPr>
      </w:pPr>
    </w:p>
    <w:p w14:paraId="4BF6B2BF" w14:textId="77A884B7" w:rsidR="00A222C1" w:rsidRDefault="320AD7D3" w:rsidP="320AD7D3">
      <w:pPr>
        <w:spacing w:after="0"/>
        <w:rPr>
          <w:rFonts w:ascii="Times New Roman" w:hAnsi="Times New Roman" w:cs="Times New Roman"/>
          <w:sz w:val="24"/>
          <w:szCs w:val="24"/>
        </w:rPr>
      </w:pPr>
      <w:r w:rsidRPr="320AD7D3">
        <w:rPr>
          <w:rFonts w:ascii="Times New Roman" w:hAnsi="Times New Roman" w:cs="Times New Roman"/>
          <w:sz w:val="24"/>
          <w:szCs w:val="24"/>
        </w:rPr>
        <w:t xml:space="preserve">The need to engage whole communities to tackle problems is more urgent than ever. People too often falter in the gaps between programs and agencies. Large government programs and departments and the resources and expertise they bring are </w:t>
      </w:r>
      <w:r w:rsidR="00491689" w:rsidRPr="320AD7D3">
        <w:rPr>
          <w:rFonts w:ascii="Times New Roman" w:hAnsi="Times New Roman" w:cs="Times New Roman"/>
          <w:sz w:val="24"/>
          <w:szCs w:val="24"/>
        </w:rPr>
        <w:t>essential but</w:t>
      </w:r>
      <w:r w:rsidRPr="320AD7D3">
        <w:rPr>
          <w:rFonts w:ascii="Times New Roman" w:hAnsi="Times New Roman" w:cs="Times New Roman"/>
          <w:sz w:val="24"/>
          <w:szCs w:val="24"/>
        </w:rPr>
        <w:t xml:space="preserve"> helping families and individuals to achieve success requires a sharing of information, resources and strategies that must occur at the local level. </w:t>
      </w:r>
    </w:p>
    <w:p w14:paraId="53128261" w14:textId="77777777" w:rsidR="00986D91" w:rsidRDefault="00986D91" w:rsidP="008C34D5">
      <w:pPr>
        <w:spacing w:after="0"/>
        <w:rPr>
          <w:rFonts w:ascii="Times New Roman" w:hAnsi="Times New Roman" w:cs="Times New Roman"/>
          <w:sz w:val="24"/>
        </w:rPr>
      </w:pPr>
    </w:p>
    <w:p w14:paraId="3D3DF878" w14:textId="77777777" w:rsidR="00654591" w:rsidRPr="008C34D5" w:rsidRDefault="320AD7D3" w:rsidP="320AD7D3">
      <w:pPr>
        <w:spacing w:after="0"/>
        <w:rPr>
          <w:rFonts w:ascii="Times New Roman" w:hAnsi="Times New Roman" w:cs="Times New Roman"/>
          <w:sz w:val="24"/>
          <w:szCs w:val="24"/>
        </w:rPr>
      </w:pPr>
      <w:r w:rsidRPr="320AD7D3">
        <w:rPr>
          <w:rFonts w:ascii="Times New Roman" w:hAnsi="Times New Roman" w:cs="Times New Roman"/>
          <w:sz w:val="24"/>
          <w:szCs w:val="24"/>
        </w:rPr>
        <w:lastRenderedPageBreak/>
        <w:t>This is the perspective on which our policy positions and proposals rest. Building the right services around the people who need them offers the best chance for success. United Way is a champion for this approach and is committed to in the many communities which we serve.</w:t>
      </w:r>
    </w:p>
    <w:p w14:paraId="72B30965" w14:textId="01AF62BE" w:rsidR="320AD7D3" w:rsidRDefault="320AD7D3" w:rsidP="320AD7D3">
      <w:pPr>
        <w:spacing w:after="0"/>
        <w:rPr>
          <w:rFonts w:ascii="Times New Roman" w:hAnsi="Times New Roman" w:cs="Times New Roman"/>
          <w:sz w:val="24"/>
          <w:szCs w:val="24"/>
        </w:rPr>
      </w:pPr>
    </w:p>
    <w:p w14:paraId="13D0CB46" w14:textId="0B636D4E" w:rsidR="320AD7D3" w:rsidRDefault="320AD7D3" w:rsidP="320AD7D3">
      <w:pPr>
        <w:spacing w:after="0"/>
        <w:rPr>
          <w:rFonts w:ascii="Times New Roman" w:hAnsi="Times New Roman" w:cs="Times New Roman"/>
          <w:sz w:val="24"/>
          <w:szCs w:val="24"/>
        </w:rPr>
      </w:pPr>
      <w:r w:rsidRPr="320AD7D3">
        <w:rPr>
          <w:rFonts w:ascii="Times New Roman" w:hAnsi="Times New Roman" w:cs="Times New Roman"/>
          <w:sz w:val="24"/>
          <w:szCs w:val="24"/>
        </w:rPr>
        <w:t xml:space="preserve">Partnership with United Way </w:t>
      </w:r>
      <w:proofErr w:type="spellStart"/>
      <w:r w:rsidRPr="320AD7D3">
        <w:rPr>
          <w:rFonts w:ascii="Times New Roman" w:hAnsi="Times New Roman" w:cs="Times New Roman"/>
          <w:sz w:val="24"/>
          <w:szCs w:val="24"/>
        </w:rPr>
        <w:t>Worldwide’s</w:t>
      </w:r>
      <w:proofErr w:type="spellEnd"/>
      <w:r w:rsidRPr="320AD7D3">
        <w:rPr>
          <w:rFonts w:ascii="Times New Roman" w:hAnsi="Times New Roman" w:cs="Times New Roman"/>
          <w:sz w:val="24"/>
          <w:szCs w:val="24"/>
        </w:rPr>
        <w:t xml:space="preserve"> Public Policy Team is tantamount to the successful engagement of New York’s federal elected leaders and ultimately in the passing of federal legislation that improves the lives of all Americans.  United Way of New York State will engage in efforts that align with stated state priorities: Working Family Tax Credits, Universal Charitable Deduction.  </w:t>
      </w:r>
    </w:p>
    <w:p w14:paraId="62486C05" w14:textId="77777777" w:rsidR="00986D91" w:rsidRDefault="00986D91" w:rsidP="00742D3C">
      <w:pPr>
        <w:spacing w:after="0"/>
        <w:rPr>
          <w:rFonts w:ascii="Times New Roman" w:hAnsi="Times New Roman" w:cs="Times New Roman"/>
          <w:b/>
          <w:sz w:val="28"/>
          <w:szCs w:val="28"/>
        </w:rPr>
      </w:pPr>
    </w:p>
    <w:p w14:paraId="5AAB1CCF" w14:textId="5D0CD461" w:rsidR="00654591" w:rsidRPr="003822F9" w:rsidRDefault="74E74CC0" w:rsidP="74E74CC0">
      <w:pPr>
        <w:spacing w:after="0"/>
        <w:rPr>
          <w:rFonts w:ascii="Times New Roman" w:hAnsi="Times New Roman" w:cs="Times New Roman"/>
          <w:b/>
          <w:bCs/>
          <w:sz w:val="28"/>
          <w:szCs w:val="28"/>
        </w:rPr>
      </w:pPr>
      <w:r w:rsidRPr="74E74CC0">
        <w:rPr>
          <w:rFonts w:ascii="Times New Roman" w:hAnsi="Times New Roman" w:cs="Times New Roman"/>
          <w:b/>
          <w:bCs/>
          <w:sz w:val="28"/>
          <w:szCs w:val="28"/>
        </w:rPr>
        <w:t>2020 Policy Priorities</w:t>
      </w:r>
    </w:p>
    <w:p w14:paraId="4101652C" w14:textId="77777777" w:rsidR="0045615E" w:rsidRDefault="0045615E" w:rsidP="00742D3C">
      <w:pPr>
        <w:spacing w:after="0"/>
        <w:rPr>
          <w:rFonts w:ascii="Times New Roman" w:hAnsi="Times New Roman" w:cs="Times New Roman"/>
          <w:sz w:val="24"/>
        </w:rPr>
      </w:pPr>
    </w:p>
    <w:p w14:paraId="79B1F092" w14:textId="1E91C62B" w:rsidR="00623711" w:rsidRDefault="74E74CC0" w:rsidP="74E74CC0">
      <w:pPr>
        <w:spacing w:after="0"/>
        <w:rPr>
          <w:rFonts w:ascii="Times New Roman" w:hAnsi="Times New Roman" w:cs="Times New Roman"/>
          <w:sz w:val="24"/>
          <w:szCs w:val="24"/>
        </w:rPr>
      </w:pPr>
      <w:r w:rsidRPr="74E74CC0">
        <w:rPr>
          <w:rFonts w:ascii="Times New Roman" w:hAnsi="Times New Roman" w:cs="Times New Roman"/>
          <w:sz w:val="24"/>
          <w:szCs w:val="24"/>
        </w:rPr>
        <w:t>In 2020 our top policy priorities will be:</w:t>
      </w:r>
    </w:p>
    <w:p w14:paraId="1699985C" w14:textId="77777777" w:rsidR="00623711" w:rsidRDefault="00623711" w:rsidP="00623711">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2-1-1</w:t>
      </w:r>
      <w:r w:rsidR="0045615E">
        <w:rPr>
          <w:rFonts w:ascii="Times New Roman" w:hAnsi="Times New Roman" w:cs="Times New Roman"/>
          <w:sz w:val="24"/>
        </w:rPr>
        <w:t xml:space="preserve"> Funding</w:t>
      </w:r>
      <w:r w:rsidR="00F91744">
        <w:rPr>
          <w:rFonts w:ascii="Times New Roman" w:hAnsi="Times New Roman" w:cs="Times New Roman"/>
          <w:sz w:val="24"/>
        </w:rPr>
        <w:t xml:space="preserve">; </w:t>
      </w:r>
      <w:r>
        <w:rPr>
          <w:rFonts w:ascii="Times New Roman" w:hAnsi="Times New Roman" w:cs="Times New Roman"/>
          <w:sz w:val="24"/>
        </w:rPr>
        <w:t>Access to Health and Human Services</w:t>
      </w:r>
    </w:p>
    <w:p w14:paraId="767B5921" w14:textId="2B608922" w:rsidR="00623711" w:rsidRDefault="74E74CC0" w:rsidP="74E74CC0">
      <w:pPr>
        <w:pStyle w:val="ListParagraph"/>
        <w:numPr>
          <w:ilvl w:val="0"/>
          <w:numId w:val="9"/>
        </w:numPr>
        <w:spacing w:after="0"/>
        <w:rPr>
          <w:rFonts w:ascii="Times New Roman" w:hAnsi="Times New Roman" w:cs="Times New Roman"/>
          <w:sz w:val="24"/>
          <w:szCs w:val="24"/>
        </w:rPr>
      </w:pPr>
      <w:r w:rsidRPr="74E74CC0">
        <w:rPr>
          <w:rFonts w:ascii="Times New Roman" w:hAnsi="Times New Roman" w:cs="Times New Roman"/>
          <w:sz w:val="24"/>
          <w:szCs w:val="24"/>
        </w:rPr>
        <w:t>ESPRI Program; Economic Security (VITA, EITC, CTC)</w:t>
      </w:r>
    </w:p>
    <w:p w14:paraId="3F253BE1" w14:textId="77777777" w:rsidR="00623711" w:rsidRDefault="00623711" w:rsidP="00623711">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School Readiness and Success</w:t>
      </w:r>
    </w:p>
    <w:p w14:paraId="4DC3096F" w14:textId="2FC094B4" w:rsidR="00623711" w:rsidRPr="00623711" w:rsidRDefault="320AD7D3" w:rsidP="320AD7D3">
      <w:pPr>
        <w:pStyle w:val="ListParagraph"/>
        <w:numPr>
          <w:ilvl w:val="0"/>
          <w:numId w:val="9"/>
        </w:numPr>
        <w:spacing w:after="0"/>
        <w:rPr>
          <w:rFonts w:ascii="Times New Roman" w:hAnsi="Times New Roman" w:cs="Times New Roman"/>
          <w:sz w:val="24"/>
          <w:szCs w:val="24"/>
        </w:rPr>
      </w:pPr>
      <w:r w:rsidRPr="320AD7D3">
        <w:rPr>
          <w:rFonts w:ascii="Times New Roman" w:hAnsi="Times New Roman" w:cs="Times New Roman"/>
          <w:sz w:val="24"/>
          <w:szCs w:val="24"/>
        </w:rPr>
        <w:t>Charitable Sector Issues: Universal Charitable Tax Deduction</w:t>
      </w:r>
    </w:p>
    <w:p w14:paraId="4B99056E" w14:textId="77777777" w:rsidR="00623711" w:rsidRDefault="00623711" w:rsidP="00742D3C">
      <w:pPr>
        <w:spacing w:after="0"/>
        <w:rPr>
          <w:rFonts w:ascii="Times New Roman" w:hAnsi="Times New Roman" w:cs="Times New Roman"/>
          <w:sz w:val="24"/>
        </w:rPr>
      </w:pPr>
    </w:p>
    <w:p w14:paraId="73649577" w14:textId="19D4B47F" w:rsidR="00314870" w:rsidRDefault="74E74CC0" w:rsidP="74E74CC0">
      <w:pPr>
        <w:spacing w:after="0"/>
        <w:rPr>
          <w:rFonts w:ascii="Times New Roman" w:hAnsi="Times New Roman" w:cs="Times New Roman"/>
          <w:sz w:val="24"/>
          <w:szCs w:val="24"/>
        </w:rPr>
      </w:pPr>
      <w:r w:rsidRPr="74E74CC0">
        <w:rPr>
          <w:rFonts w:ascii="Times New Roman" w:hAnsi="Times New Roman" w:cs="Times New Roman"/>
          <w:sz w:val="24"/>
          <w:szCs w:val="24"/>
        </w:rPr>
        <w:t>The materials below provide the framework for the 2020 budget and advocacy positions.  The specifics of the proposals as well as the United Way response will be added after the Governor has given his State of the State message and delivered his Executive Budget Proposal to the Legislature.</w:t>
      </w:r>
    </w:p>
    <w:p w14:paraId="1299C43A" w14:textId="77777777" w:rsidR="00623711" w:rsidRPr="003822F9" w:rsidRDefault="00623711" w:rsidP="00742D3C">
      <w:pPr>
        <w:spacing w:after="0"/>
        <w:rPr>
          <w:rFonts w:ascii="Times New Roman" w:hAnsi="Times New Roman" w:cs="Times New Roman"/>
          <w:sz w:val="28"/>
          <w:szCs w:val="28"/>
        </w:rPr>
      </w:pPr>
    </w:p>
    <w:p w14:paraId="1B9DC4AB" w14:textId="77777777" w:rsidR="00742D3C" w:rsidRPr="00491689" w:rsidRDefault="74E74CC0" w:rsidP="74E74CC0">
      <w:pPr>
        <w:pStyle w:val="ListParagraph"/>
        <w:numPr>
          <w:ilvl w:val="0"/>
          <w:numId w:val="11"/>
        </w:numPr>
        <w:spacing w:after="0"/>
        <w:rPr>
          <w:rFonts w:ascii="Times New Roman" w:hAnsi="Times New Roman" w:cs="Times New Roman"/>
          <w:sz w:val="24"/>
          <w:szCs w:val="24"/>
        </w:rPr>
      </w:pPr>
      <w:r w:rsidRPr="00491689">
        <w:rPr>
          <w:rFonts w:ascii="Times New Roman" w:hAnsi="Times New Roman" w:cs="Times New Roman"/>
          <w:b/>
          <w:bCs/>
          <w:sz w:val="24"/>
          <w:szCs w:val="24"/>
          <w:u w:val="single"/>
        </w:rPr>
        <w:t>2-1-1</w:t>
      </w:r>
    </w:p>
    <w:p w14:paraId="2E0A16A7" w14:textId="63609E48" w:rsidR="00742D3C" w:rsidRDefault="320AD7D3" w:rsidP="320AD7D3">
      <w:pPr>
        <w:spacing w:after="0"/>
        <w:rPr>
          <w:rFonts w:ascii="Times New Roman" w:hAnsi="Times New Roman" w:cs="Times New Roman"/>
          <w:sz w:val="24"/>
          <w:szCs w:val="24"/>
        </w:rPr>
      </w:pPr>
      <w:r w:rsidRPr="00491689">
        <w:rPr>
          <w:rFonts w:ascii="Times New Roman" w:hAnsi="Times New Roman" w:cs="Times New Roman"/>
          <w:sz w:val="24"/>
          <w:szCs w:val="24"/>
        </w:rPr>
        <w:t>Request $1.</w:t>
      </w:r>
      <w:r w:rsidR="005D657E" w:rsidRPr="00491689">
        <w:rPr>
          <w:rFonts w:ascii="Times New Roman" w:hAnsi="Times New Roman" w:cs="Times New Roman"/>
          <w:sz w:val="24"/>
          <w:szCs w:val="24"/>
        </w:rPr>
        <w:t>5</w:t>
      </w:r>
      <w:r w:rsidRPr="00491689">
        <w:rPr>
          <w:rFonts w:ascii="Times New Roman" w:hAnsi="Times New Roman" w:cs="Times New Roman"/>
          <w:sz w:val="24"/>
          <w:szCs w:val="24"/>
        </w:rPr>
        <w:t xml:space="preserve"> million:</w:t>
      </w:r>
    </w:p>
    <w:p w14:paraId="529BD25C" w14:textId="77777777" w:rsidR="00742D3C" w:rsidRDefault="00742D3C" w:rsidP="00742D3C">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 xml:space="preserve">to maintain current level of services </w:t>
      </w:r>
      <w:r w:rsidR="006F6037" w:rsidRPr="00283748">
        <w:rPr>
          <w:rFonts w:ascii="Times New Roman" w:hAnsi="Times New Roman" w:cs="Times New Roman"/>
          <w:sz w:val="24"/>
        </w:rPr>
        <w:t>(24/</w:t>
      </w:r>
      <w:r w:rsidR="00990012" w:rsidRPr="00283748">
        <w:rPr>
          <w:rFonts w:ascii="Times New Roman" w:hAnsi="Times New Roman" w:cs="Times New Roman"/>
          <w:sz w:val="24"/>
        </w:rPr>
        <w:t>7</w:t>
      </w:r>
      <w:r w:rsidR="006F6037" w:rsidRPr="00283748">
        <w:rPr>
          <w:rFonts w:ascii="Times New Roman" w:hAnsi="Times New Roman" w:cs="Times New Roman"/>
          <w:sz w:val="24"/>
        </w:rPr>
        <w:t>/3</w:t>
      </w:r>
      <w:r w:rsidR="00990012" w:rsidRPr="00283748">
        <w:rPr>
          <w:rFonts w:ascii="Times New Roman" w:hAnsi="Times New Roman" w:cs="Times New Roman"/>
          <w:sz w:val="24"/>
        </w:rPr>
        <w:t>65)</w:t>
      </w:r>
      <w:r w:rsidR="00990012">
        <w:rPr>
          <w:rFonts w:ascii="Times New Roman" w:hAnsi="Times New Roman" w:cs="Times New Roman"/>
          <w:sz w:val="24"/>
        </w:rPr>
        <w:t xml:space="preserve"> </w:t>
      </w:r>
      <w:r>
        <w:rPr>
          <w:rFonts w:ascii="Times New Roman" w:hAnsi="Times New Roman" w:cs="Times New Roman"/>
          <w:sz w:val="24"/>
        </w:rPr>
        <w:t>and provides seasonal resources for additional staffing needs during the tax season</w:t>
      </w:r>
    </w:p>
    <w:p w14:paraId="4590243D" w14:textId="77777777" w:rsidR="00990012" w:rsidRPr="00283748" w:rsidRDefault="003822F9" w:rsidP="00742D3C">
      <w:pPr>
        <w:pStyle w:val="ListParagraph"/>
        <w:numPr>
          <w:ilvl w:val="0"/>
          <w:numId w:val="5"/>
        </w:numPr>
        <w:spacing w:after="0"/>
        <w:rPr>
          <w:rFonts w:ascii="Times New Roman" w:hAnsi="Times New Roman" w:cs="Times New Roman"/>
          <w:sz w:val="24"/>
        </w:rPr>
      </w:pPr>
      <w:r w:rsidRPr="00283748">
        <w:rPr>
          <w:rFonts w:ascii="Times New Roman" w:hAnsi="Times New Roman" w:cs="Times New Roman"/>
          <w:sz w:val="24"/>
        </w:rPr>
        <w:t xml:space="preserve">to </w:t>
      </w:r>
      <w:r w:rsidR="00990012" w:rsidRPr="00283748">
        <w:rPr>
          <w:rFonts w:ascii="Times New Roman" w:hAnsi="Times New Roman" w:cs="Times New Roman"/>
          <w:sz w:val="24"/>
        </w:rPr>
        <w:t xml:space="preserve">continuously improve points of access to 2-1-1 services: </w:t>
      </w:r>
      <w:r w:rsidR="00742D3C" w:rsidRPr="00283748">
        <w:rPr>
          <w:rFonts w:ascii="Times New Roman" w:hAnsi="Times New Roman" w:cs="Times New Roman"/>
          <w:sz w:val="24"/>
        </w:rPr>
        <w:t xml:space="preserve"> web traffic continues to grow faster than call volume.  Contact centers note significant usage by other providers.  </w:t>
      </w:r>
      <w:r w:rsidR="0045615E" w:rsidRPr="00283748">
        <w:rPr>
          <w:rFonts w:ascii="Times New Roman" w:hAnsi="Times New Roman" w:cs="Times New Roman"/>
          <w:sz w:val="24"/>
        </w:rPr>
        <w:t>We n</w:t>
      </w:r>
      <w:r w:rsidR="00742D3C" w:rsidRPr="00283748">
        <w:rPr>
          <w:rFonts w:ascii="Times New Roman" w:hAnsi="Times New Roman" w:cs="Times New Roman"/>
          <w:sz w:val="24"/>
        </w:rPr>
        <w:t xml:space="preserve">eed to be sure this access point is as robust and efficient as possible. </w:t>
      </w:r>
      <w:r w:rsidR="00990012" w:rsidRPr="00283748">
        <w:rPr>
          <w:rFonts w:ascii="Times New Roman" w:hAnsi="Times New Roman" w:cs="Times New Roman"/>
          <w:sz w:val="24"/>
        </w:rPr>
        <w:t>2-1-1 regions are also adding text-based services (text, chat and email) to better serve individual seeking help.</w:t>
      </w:r>
    </w:p>
    <w:p w14:paraId="12A14F35" w14:textId="77777777" w:rsidR="00742D3C" w:rsidRPr="00990012" w:rsidRDefault="00C40661" w:rsidP="00990012">
      <w:pPr>
        <w:spacing w:after="0"/>
        <w:ind w:left="720"/>
        <w:rPr>
          <w:rFonts w:ascii="Times New Roman" w:hAnsi="Times New Roman" w:cs="Times New Roman"/>
          <w:sz w:val="24"/>
        </w:rPr>
      </w:pPr>
      <w:r w:rsidRPr="00283748">
        <w:rPr>
          <w:rFonts w:ascii="Times New Roman" w:hAnsi="Times New Roman" w:cs="Times New Roman"/>
          <w:sz w:val="24"/>
        </w:rPr>
        <w:t>As a state organization, through this investment 2-1-1 NY will be taking steps to better collect, manage and analyze web data</w:t>
      </w:r>
      <w:r w:rsidR="0045615E" w:rsidRPr="00283748">
        <w:rPr>
          <w:rFonts w:ascii="Times New Roman" w:hAnsi="Times New Roman" w:cs="Times New Roman"/>
          <w:sz w:val="24"/>
        </w:rPr>
        <w:t>.</w:t>
      </w:r>
    </w:p>
    <w:p w14:paraId="23C1A8DA" w14:textId="77777777" w:rsidR="00742D3C" w:rsidRDefault="003822F9" w:rsidP="00742D3C">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To provide</w:t>
      </w:r>
      <w:r w:rsidR="00742D3C">
        <w:rPr>
          <w:rFonts w:ascii="Times New Roman" w:hAnsi="Times New Roman" w:cs="Times New Roman"/>
          <w:sz w:val="24"/>
        </w:rPr>
        <w:t xml:space="preserve"> </w:t>
      </w:r>
      <w:r w:rsidR="00697F49">
        <w:rPr>
          <w:rFonts w:ascii="Times New Roman" w:hAnsi="Times New Roman" w:cs="Times New Roman"/>
          <w:sz w:val="24"/>
        </w:rPr>
        <w:t>outreach and public awareness</w:t>
      </w:r>
      <w:r w:rsidR="0045615E">
        <w:rPr>
          <w:rFonts w:ascii="Times New Roman" w:hAnsi="Times New Roman" w:cs="Times New Roman"/>
          <w:sz w:val="24"/>
        </w:rPr>
        <w:t>.</w:t>
      </w:r>
    </w:p>
    <w:p w14:paraId="4DDBEF00" w14:textId="77777777" w:rsidR="00990012" w:rsidRDefault="00990012" w:rsidP="00742D3C">
      <w:pPr>
        <w:spacing w:after="0"/>
        <w:rPr>
          <w:rFonts w:ascii="Times New Roman" w:hAnsi="Times New Roman" w:cs="Times New Roman"/>
          <w:sz w:val="24"/>
        </w:rPr>
      </w:pPr>
    </w:p>
    <w:p w14:paraId="469A233E" w14:textId="77777777" w:rsidR="00742D3C" w:rsidRPr="00314870" w:rsidRDefault="003822F9" w:rsidP="00742D3C">
      <w:pPr>
        <w:spacing w:after="0"/>
        <w:rPr>
          <w:rFonts w:ascii="Times New Roman" w:hAnsi="Times New Roman" w:cs="Times New Roman"/>
          <w:sz w:val="24"/>
        </w:rPr>
      </w:pPr>
      <w:r>
        <w:rPr>
          <w:rFonts w:ascii="Times New Roman" w:hAnsi="Times New Roman" w:cs="Times New Roman"/>
          <w:sz w:val="24"/>
        </w:rPr>
        <w:t>Advocacy points</w:t>
      </w:r>
      <w:r w:rsidR="00742D3C" w:rsidRPr="00314870">
        <w:rPr>
          <w:rFonts w:ascii="Times New Roman" w:hAnsi="Times New Roman" w:cs="Times New Roman"/>
          <w:sz w:val="24"/>
        </w:rPr>
        <w:t>:</w:t>
      </w:r>
    </w:p>
    <w:p w14:paraId="408AD2E0" w14:textId="77777777" w:rsidR="00014512" w:rsidRDefault="00697F49" w:rsidP="00731551">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2-1-1 is the gateway that connects those needing assistance to essential health and human service</w:t>
      </w:r>
      <w:r w:rsidR="00014512">
        <w:rPr>
          <w:rFonts w:ascii="Times New Roman" w:hAnsi="Times New Roman" w:cs="Times New Roman"/>
          <w:sz w:val="24"/>
        </w:rPr>
        <w:t xml:space="preserve"> (</w:t>
      </w:r>
      <w:r w:rsidR="00014512" w:rsidRPr="00731551">
        <w:rPr>
          <w:rFonts w:ascii="Times New Roman" w:hAnsi="Times New Roman" w:cs="Times New Roman"/>
          <w:sz w:val="24"/>
        </w:rPr>
        <w:t xml:space="preserve">providing information about basic needs, income supports, job training, services </w:t>
      </w:r>
      <w:r w:rsidR="00014512" w:rsidRPr="00731551">
        <w:rPr>
          <w:rFonts w:ascii="Times New Roman" w:hAnsi="Times New Roman" w:cs="Times New Roman"/>
          <w:sz w:val="24"/>
        </w:rPr>
        <w:lastRenderedPageBreak/>
        <w:t>for displaced workers, child care, early developmental screening, early learning opportunities, literacy, etc.</w:t>
      </w:r>
      <w:r w:rsidR="00014512">
        <w:rPr>
          <w:rFonts w:ascii="Times New Roman" w:hAnsi="Times New Roman" w:cs="Times New Roman"/>
          <w:sz w:val="24"/>
        </w:rPr>
        <w:t>)</w:t>
      </w:r>
      <w:r w:rsidR="0045615E">
        <w:rPr>
          <w:rFonts w:ascii="Times New Roman" w:hAnsi="Times New Roman" w:cs="Times New Roman"/>
          <w:sz w:val="24"/>
        </w:rPr>
        <w:t>.</w:t>
      </w:r>
    </w:p>
    <w:p w14:paraId="165CF47E" w14:textId="625DB973" w:rsidR="00697F49" w:rsidRPr="00D43618" w:rsidRDefault="320AD7D3" w:rsidP="320AD7D3">
      <w:pPr>
        <w:pStyle w:val="ListParagraph"/>
        <w:numPr>
          <w:ilvl w:val="0"/>
          <w:numId w:val="7"/>
        </w:numPr>
        <w:spacing w:after="0"/>
        <w:rPr>
          <w:rFonts w:ascii="Times New Roman" w:hAnsi="Times New Roman" w:cs="Times New Roman"/>
          <w:sz w:val="24"/>
          <w:szCs w:val="24"/>
        </w:rPr>
      </w:pPr>
      <w:r w:rsidRPr="00D43618">
        <w:rPr>
          <w:rFonts w:ascii="Times New Roman" w:hAnsi="Times New Roman" w:cs="Times New Roman"/>
          <w:sz w:val="24"/>
          <w:szCs w:val="24"/>
        </w:rPr>
        <w:t xml:space="preserve">Thanks to ongoing Legislative support, 2-1-1 is now available statewide, 24 hours a day, 7 days a week, 365 days a year.  </w:t>
      </w:r>
      <w:r w:rsidR="00B174A3">
        <w:rPr>
          <w:rFonts w:ascii="Times New Roman" w:hAnsi="Times New Roman" w:cs="Times New Roman"/>
          <w:sz w:val="24"/>
          <w:szCs w:val="24"/>
        </w:rPr>
        <w:t xml:space="preserve">Six years of </w:t>
      </w:r>
      <w:r w:rsidRPr="00D43618">
        <w:rPr>
          <w:rFonts w:ascii="Times New Roman" w:hAnsi="Times New Roman" w:cs="Times New Roman"/>
          <w:sz w:val="24"/>
          <w:szCs w:val="24"/>
        </w:rPr>
        <w:t xml:space="preserve">Legislative investment </w:t>
      </w:r>
      <w:r w:rsidR="005D657E">
        <w:rPr>
          <w:rFonts w:ascii="Times New Roman" w:hAnsi="Times New Roman" w:cs="Times New Roman"/>
          <w:sz w:val="24"/>
          <w:szCs w:val="24"/>
        </w:rPr>
        <w:t xml:space="preserve">totaling </w:t>
      </w:r>
      <w:r w:rsidRPr="00D43618">
        <w:rPr>
          <w:rFonts w:ascii="Times New Roman" w:hAnsi="Times New Roman" w:cs="Times New Roman"/>
          <w:sz w:val="24"/>
          <w:szCs w:val="24"/>
        </w:rPr>
        <w:t>$</w:t>
      </w:r>
      <w:r w:rsidR="00283C2D">
        <w:rPr>
          <w:rFonts w:ascii="Times New Roman" w:hAnsi="Times New Roman" w:cs="Times New Roman"/>
          <w:sz w:val="24"/>
          <w:szCs w:val="24"/>
        </w:rPr>
        <w:t>7,</w:t>
      </w:r>
      <w:r w:rsidR="00B174A3">
        <w:rPr>
          <w:rFonts w:ascii="Times New Roman" w:hAnsi="Times New Roman" w:cs="Times New Roman"/>
          <w:sz w:val="24"/>
          <w:szCs w:val="24"/>
        </w:rPr>
        <w:t>487,</w:t>
      </w:r>
      <w:r w:rsidRPr="00D43618">
        <w:rPr>
          <w:rFonts w:ascii="Times New Roman" w:hAnsi="Times New Roman" w:cs="Times New Roman"/>
          <w:sz w:val="24"/>
          <w:szCs w:val="24"/>
        </w:rPr>
        <w:t>950 has leveraged $1</w:t>
      </w:r>
      <w:r w:rsidR="00885DC2">
        <w:rPr>
          <w:rFonts w:ascii="Times New Roman" w:hAnsi="Times New Roman" w:cs="Times New Roman"/>
          <w:sz w:val="24"/>
          <w:szCs w:val="24"/>
        </w:rPr>
        <w:t>3</w:t>
      </w:r>
      <w:r w:rsidRPr="00D43618">
        <w:rPr>
          <w:rFonts w:ascii="Times New Roman" w:hAnsi="Times New Roman" w:cs="Times New Roman"/>
          <w:sz w:val="24"/>
          <w:szCs w:val="24"/>
        </w:rPr>
        <w:t>,1</w:t>
      </w:r>
      <w:r w:rsidR="00885DC2">
        <w:rPr>
          <w:rFonts w:ascii="Times New Roman" w:hAnsi="Times New Roman" w:cs="Times New Roman"/>
          <w:sz w:val="24"/>
          <w:szCs w:val="24"/>
        </w:rPr>
        <w:t>39</w:t>
      </w:r>
      <w:r w:rsidRPr="00D43618">
        <w:rPr>
          <w:rFonts w:ascii="Times New Roman" w:hAnsi="Times New Roman" w:cs="Times New Roman"/>
          <w:sz w:val="24"/>
          <w:szCs w:val="24"/>
        </w:rPr>
        <w:t>,6</w:t>
      </w:r>
      <w:r w:rsidR="005D657E">
        <w:rPr>
          <w:rFonts w:ascii="Times New Roman" w:hAnsi="Times New Roman" w:cs="Times New Roman"/>
          <w:sz w:val="24"/>
          <w:szCs w:val="24"/>
        </w:rPr>
        <w:t>60</w:t>
      </w:r>
      <w:r w:rsidRPr="00D43618">
        <w:rPr>
          <w:rFonts w:ascii="Times New Roman" w:hAnsi="Times New Roman" w:cs="Times New Roman"/>
          <w:sz w:val="24"/>
          <w:szCs w:val="24"/>
        </w:rPr>
        <w:t xml:space="preserve"> in local support (United Way, local governments, grants, contracts, etc.) as noted in the table below.</w:t>
      </w:r>
    </w:p>
    <w:p w14:paraId="29D6B04F" w14:textId="77777777" w:rsidR="0004574C" w:rsidRPr="0004574C" w:rsidRDefault="0004574C" w:rsidP="0004574C">
      <w:pPr>
        <w:spacing w:after="0"/>
        <w:ind w:left="360"/>
        <w:rPr>
          <w:rFonts w:ascii="Times New Roman" w:hAnsi="Times New Roman" w:cs="Times New Roman"/>
          <w:sz w:val="6"/>
        </w:rPr>
      </w:pPr>
      <w:r>
        <w:rPr>
          <w:rFonts w:ascii="Times New Roman" w:hAnsi="Times New Roman" w:cs="Times New Roman"/>
          <w:sz w:val="6"/>
        </w:rPr>
        <w:t xml:space="preserve"> </w:t>
      </w:r>
    </w:p>
    <w:tbl>
      <w:tblPr>
        <w:tblStyle w:val="TableGrid"/>
        <w:tblW w:w="0" w:type="auto"/>
        <w:tblInd w:w="360" w:type="dxa"/>
        <w:tblLook w:val="04A0" w:firstRow="1" w:lastRow="0" w:firstColumn="1" w:lastColumn="0" w:noHBand="0" w:noVBand="1"/>
      </w:tblPr>
      <w:tblGrid>
        <w:gridCol w:w="1742"/>
        <w:gridCol w:w="1820"/>
        <w:gridCol w:w="1810"/>
        <w:gridCol w:w="1797"/>
        <w:gridCol w:w="1821"/>
      </w:tblGrid>
      <w:tr w:rsidR="00891C50" w14:paraId="6C4D7974" w14:textId="77777777" w:rsidTr="00891C50">
        <w:tc>
          <w:tcPr>
            <w:tcW w:w="1915" w:type="dxa"/>
          </w:tcPr>
          <w:p w14:paraId="3C72651D" w14:textId="77777777" w:rsidR="00891C50" w:rsidRPr="00891C50" w:rsidRDefault="00891C50" w:rsidP="00891C50">
            <w:pPr>
              <w:jc w:val="center"/>
              <w:rPr>
                <w:rFonts w:ascii="Times New Roman" w:hAnsi="Times New Roman" w:cs="Times New Roman"/>
                <w:b/>
                <w:sz w:val="24"/>
              </w:rPr>
            </w:pPr>
            <w:r>
              <w:rPr>
                <w:rFonts w:ascii="Times New Roman" w:hAnsi="Times New Roman" w:cs="Times New Roman"/>
                <w:b/>
                <w:sz w:val="24"/>
              </w:rPr>
              <w:t>Year</w:t>
            </w:r>
          </w:p>
        </w:tc>
        <w:tc>
          <w:tcPr>
            <w:tcW w:w="1915" w:type="dxa"/>
          </w:tcPr>
          <w:p w14:paraId="08B4BBF5" w14:textId="77777777" w:rsidR="00891C50" w:rsidRPr="00891C50" w:rsidRDefault="00891C50" w:rsidP="00891C50">
            <w:pPr>
              <w:jc w:val="center"/>
              <w:rPr>
                <w:rFonts w:ascii="Times New Roman" w:hAnsi="Times New Roman" w:cs="Times New Roman"/>
                <w:b/>
                <w:sz w:val="24"/>
              </w:rPr>
            </w:pPr>
            <w:r>
              <w:rPr>
                <w:rFonts w:ascii="Times New Roman" w:hAnsi="Times New Roman" w:cs="Times New Roman"/>
                <w:b/>
                <w:sz w:val="24"/>
              </w:rPr>
              <w:t>Total Budget</w:t>
            </w:r>
          </w:p>
        </w:tc>
        <w:tc>
          <w:tcPr>
            <w:tcW w:w="1915" w:type="dxa"/>
          </w:tcPr>
          <w:p w14:paraId="7AE35FFD" w14:textId="77777777" w:rsidR="00891C50" w:rsidRPr="00891C50" w:rsidRDefault="00891C50" w:rsidP="00891C50">
            <w:pPr>
              <w:jc w:val="center"/>
              <w:rPr>
                <w:rFonts w:ascii="Times New Roman" w:hAnsi="Times New Roman" w:cs="Times New Roman"/>
                <w:b/>
                <w:sz w:val="24"/>
              </w:rPr>
            </w:pPr>
            <w:r>
              <w:rPr>
                <w:rFonts w:ascii="Times New Roman" w:hAnsi="Times New Roman" w:cs="Times New Roman"/>
                <w:b/>
                <w:sz w:val="24"/>
              </w:rPr>
              <w:t>State Investment</w:t>
            </w:r>
          </w:p>
        </w:tc>
        <w:tc>
          <w:tcPr>
            <w:tcW w:w="1915" w:type="dxa"/>
          </w:tcPr>
          <w:p w14:paraId="785AFF8C" w14:textId="77777777" w:rsidR="00891C50" w:rsidRPr="00891C50" w:rsidRDefault="00891C50" w:rsidP="00891C50">
            <w:pPr>
              <w:jc w:val="center"/>
              <w:rPr>
                <w:rFonts w:ascii="Times New Roman" w:hAnsi="Times New Roman" w:cs="Times New Roman"/>
                <w:b/>
                <w:sz w:val="24"/>
              </w:rPr>
            </w:pPr>
            <w:r>
              <w:rPr>
                <w:rFonts w:ascii="Times New Roman" w:hAnsi="Times New Roman" w:cs="Times New Roman"/>
                <w:b/>
                <w:sz w:val="24"/>
              </w:rPr>
              <w:t>United Way Support</w:t>
            </w:r>
          </w:p>
        </w:tc>
        <w:tc>
          <w:tcPr>
            <w:tcW w:w="1916" w:type="dxa"/>
          </w:tcPr>
          <w:p w14:paraId="3439C5B1" w14:textId="77777777" w:rsidR="00891C50" w:rsidRPr="00891C50" w:rsidRDefault="00891C50" w:rsidP="00891C50">
            <w:pPr>
              <w:jc w:val="center"/>
              <w:rPr>
                <w:rFonts w:ascii="Times New Roman" w:hAnsi="Times New Roman" w:cs="Times New Roman"/>
                <w:b/>
                <w:sz w:val="24"/>
              </w:rPr>
            </w:pPr>
            <w:r>
              <w:rPr>
                <w:rFonts w:ascii="Times New Roman" w:hAnsi="Times New Roman" w:cs="Times New Roman"/>
                <w:b/>
                <w:sz w:val="24"/>
              </w:rPr>
              <w:t>Other Grants &amp; Contracts</w:t>
            </w:r>
          </w:p>
        </w:tc>
      </w:tr>
      <w:tr w:rsidR="00891C50" w14:paraId="6F67FD2D" w14:textId="77777777" w:rsidTr="00891C50">
        <w:tc>
          <w:tcPr>
            <w:tcW w:w="1915" w:type="dxa"/>
          </w:tcPr>
          <w:p w14:paraId="3A034B5D" w14:textId="77777777" w:rsidR="00891C50" w:rsidRDefault="00891C50" w:rsidP="00891C50">
            <w:pPr>
              <w:jc w:val="center"/>
              <w:rPr>
                <w:rFonts w:ascii="Times New Roman" w:hAnsi="Times New Roman" w:cs="Times New Roman"/>
                <w:sz w:val="24"/>
              </w:rPr>
            </w:pPr>
            <w:r>
              <w:rPr>
                <w:rFonts w:ascii="Times New Roman" w:hAnsi="Times New Roman" w:cs="Times New Roman"/>
                <w:sz w:val="24"/>
              </w:rPr>
              <w:t>2014/15</w:t>
            </w:r>
          </w:p>
        </w:tc>
        <w:tc>
          <w:tcPr>
            <w:tcW w:w="1915" w:type="dxa"/>
          </w:tcPr>
          <w:p w14:paraId="7FCA4B94"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3,380,379</w:t>
            </w:r>
          </w:p>
        </w:tc>
        <w:tc>
          <w:tcPr>
            <w:tcW w:w="1915" w:type="dxa"/>
          </w:tcPr>
          <w:p w14:paraId="4331B346"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1,237,950</w:t>
            </w:r>
          </w:p>
        </w:tc>
        <w:tc>
          <w:tcPr>
            <w:tcW w:w="1915" w:type="dxa"/>
          </w:tcPr>
          <w:p w14:paraId="5274862B"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1,091,939</w:t>
            </w:r>
          </w:p>
        </w:tc>
        <w:tc>
          <w:tcPr>
            <w:tcW w:w="1916" w:type="dxa"/>
          </w:tcPr>
          <w:p w14:paraId="3202165D"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1,050,490</w:t>
            </w:r>
          </w:p>
        </w:tc>
      </w:tr>
      <w:tr w:rsidR="00891C50" w14:paraId="17B96254" w14:textId="77777777" w:rsidTr="00891C50">
        <w:tc>
          <w:tcPr>
            <w:tcW w:w="1915" w:type="dxa"/>
          </w:tcPr>
          <w:p w14:paraId="20725E05" w14:textId="77777777" w:rsidR="00891C50" w:rsidRDefault="00891C50" w:rsidP="00891C50">
            <w:pPr>
              <w:jc w:val="center"/>
              <w:rPr>
                <w:rFonts w:ascii="Times New Roman" w:hAnsi="Times New Roman" w:cs="Times New Roman"/>
                <w:sz w:val="24"/>
              </w:rPr>
            </w:pPr>
            <w:r>
              <w:rPr>
                <w:rFonts w:ascii="Times New Roman" w:hAnsi="Times New Roman" w:cs="Times New Roman"/>
                <w:sz w:val="24"/>
              </w:rPr>
              <w:t>2015/16</w:t>
            </w:r>
          </w:p>
        </w:tc>
        <w:tc>
          <w:tcPr>
            <w:tcW w:w="1915" w:type="dxa"/>
          </w:tcPr>
          <w:p w14:paraId="7D4F9654"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4,194,832</w:t>
            </w:r>
          </w:p>
        </w:tc>
        <w:tc>
          <w:tcPr>
            <w:tcW w:w="1915" w:type="dxa"/>
          </w:tcPr>
          <w:p w14:paraId="1B9187F9"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1,250,000</w:t>
            </w:r>
          </w:p>
        </w:tc>
        <w:tc>
          <w:tcPr>
            <w:tcW w:w="1915" w:type="dxa"/>
          </w:tcPr>
          <w:p w14:paraId="20E4FFCD"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1,036,489</w:t>
            </w:r>
          </w:p>
        </w:tc>
        <w:tc>
          <w:tcPr>
            <w:tcW w:w="1916" w:type="dxa"/>
          </w:tcPr>
          <w:p w14:paraId="79AABE1A"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1,908,343</w:t>
            </w:r>
          </w:p>
        </w:tc>
      </w:tr>
      <w:tr w:rsidR="00891C50" w14:paraId="448474C6" w14:textId="77777777" w:rsidTr="00891C50">
        <w:tc>
          <w:tcPr>
            <w:tcW w:w="1915" w:type="dxa"/>
          </w:tcPr>
          <w:p w14:paraId="0623C4A9" w14:textId="77777777" w:rsidR="00891C50" w:rsidRDefault="00891C50" w:rsidP="00891C50">
            <w:pPr>
              <w:jc w:val="center"/>
              <w:rPr>
                <w:rFonts w:ascii="Times New Roman" w:hAnsi="Times New Roman" w:cs="Times New Roman"/>
                <w:sz w:val="24"/>
              </w:rPr>
            </w:pPr>
            <w:r>
              <w:rPr>
                <w:rFonts w:ascii="Times New Roman" w:hAnsi="Times New Roman" w:cs="Times New Roman"/>
                <w:sz w:val="24"/>
              </w:rPr>
              <w:t>2016/17</w:t>
            </w:r>
          </w:p>
        </w:tc>
        <w:tc>
          <w:tcPr>
            <w:tcW w:w="1915" w:type="dxa"/>
          </w:tcPr>
          <w:p w14:paraId="5C7E3DDC"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4,853,409</w:t>
            </w:r>
          </w:p>
        </w:tc>
        <w:tc>
          <w:tcPr>
            <w:tcW w:w="1915" w:type="dxa"/>
          </w:tcPr>
          <w:p w14:paraId="54587C92"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1,250,000</w:t>
            </w:r>
          </w:p>
        </w:tc>
        <w:tc>
          <w:tcPr>
            <w:tcW w:w="1915" w:type="dxa"/>
          </w:tcPr>
          <w:p w14:paraId="5FF6831B"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1,258,247</w:t>
            </w:r>
          </w:p>
        </w:tc>
        <w:tc>
          <w:tcPr>
            <w:tcW w:w="1916" w:type="dxa"/>
          </w:tcPr>
          <w:p w14:paraId="0118F479" w14:textId="77777777" w:rsidR="00891C50" w:rsidRDefault="00891C50" w:rsidP="00891C50">
            <w:pPr>
              <w:jc w:val="right"/>
              <w:rPr>
                <w:rFonts w:ascii="Times New Roman" w:hAnsi="Times New Roman" w:cs="Times New Roman"/>
                <w:sz w:val="24"/>
              </w:rPr>
            </w:pPr>
            <w:r>
              <w:rPr>
                <w:rFonts w:ascii="Times New Roman" w:hAnsi="Times New Roman" w:cs="Times New Roman"/>
                <w:sz w:val="24"/>
              </w:rPr>
              <w:t>2,345,162</w:t>
            </w:r>
          </w:p>
        </w:tc>
      </w:tr>
      <w:tr w:rsidR="00990012" w14:paraId="26859EA4" w14:textId="77777777" w:rsidTr="00891C50">
        <w:tc>
          <w:tcPr>
            <w:tcW w:w="1915" w:type="dxa"/>
          </w:tcPr>
          <w:p w14:paraId="4AAAD6F0" w14:textId="77777777" w:rsidR="00990012" w:rsidRPr="00283748" w:rsidRDefault="00990012" w:rsidP="00891C50">
            <w:pPr>
              <w:jc w:val="center"/>
              <w:rPr>
                <w:rFonts w:ascii="Times New Roman" w:hAnsi="Times New Roman" w:cs="Times New Roman"/>
                <w:sz w:val="24"/>
              </w:rPr>
            </w:pPr>
            <w:r w:rsidRPr="00283748">
              <w:rPr>
                <w:rFonts w:ascii="Times New Roman" w:hAnsi="Times New Roman" w:cs="Times New Roman"/>
                <w:sz w:val="24"/>
              </w:rPr>
              <w:t>2017/18</w:t>
            </w:r>
          </w:p>
        </w:tc>
        <w:tc>
          <w:tcPr>
            <w:tcW w:w="1915" w:type="dxa"/>
          </w:tcPr>
          <w:p w14:paraId="03BCFA08" w14:textId="77777777" w:rsidR="00990012" w:rsidRPr="00283748" w:rsidRDefault="00990012" w:rsidP="00891C50">
            <w:pPr>
              <w:jc w:val="right"/>
              <w:rPr>
                <w:rFonts w:ascii="Times New Roman" w:hAnsi="Times New Roman" w:cs="Times New Roman"/>
                <w:sz w:val="24"/>
              </w:rPr>
            </w:pPr>
            <w:r w:rsidRPr="00283748">
              <w:rPr>
                <w:rFonts w:ascii="Times New Roman" w:hAnsi="Times New Roman" w:cs="Times New Roman"/>
                <w:sz w:val="24"/>
              </w:rPr>
              <w:t>4,701,005</w:t>
            </w:r>
          </w:p>
        </w:tc>
        <w:tc>
          <w:tcPr>
            <w:tcW w:w="1915" w:type="dxa"/>
          </w:tcPr>
          <w:p w14:paraId="285BC408" w14:textId="77777777" w:rsidR="00990012" w:rsidRPr="00283748" w:rsidRDefault="00990012" w:rsidP="00891C50">
            <w:pPr>
              <w:jc w:val="right"/>
              <w:rPr>
                <w:rFonts w:ascii="Times New Roman" w:hAnsi="Times New Roman" w:cs="Times New Roman"/>
                <w:sz w:val="24"/>
              </w:rPr>
            </w:pPr>
            <w:r w:rsidRPr="00283748">
              <w:rPr>
                <w:rFonts w:ascii="Times New Roman" w:hAnsi="Times New Roman" w:cs="Times New Roman"/>
                <w:sz w:val="24"/>
              </w:rPr>
              <w:t>1,250,000</w:t>
            </w:r>
          </w:p>
        </w:tc>
        <w:tc>
          <w:tcPr>
            <w:tcW w:w="1915" w:type="dxa"/>
          </w:tcPr>
          <w:p w14:paraId="11D1DBDD" w14:textId="77777777" w:rsidR="00990012" w:rsidRPr="00283748" w:rsidRDefault="00990012" w:rsidP="00891C50">
            <w:pPr>
              <w:jc w:val="right"/>
              <w:rPr>
                <w:rFonts w:ascii="Times New Roman" w:hAnsi="Times New Roman" w:cs="Times New Roman"/>
                <w:sz w:val="24"/>
              </w:rPr>
            </w:pPr>
            <w:r w:rsidRPr="00283748">
              <w:rPr>
                <w:rFonts w:ascii="Times New Roman" w:hAnsi="Times New Roman" w:cs="Times New Roman"/>
                <w:sz w:val="24"/>
              </w:rPr>
              <w:t>1,299,349</w:t>
            </w:r>
          </w:p>
        </w:tc>
        <w:tc>
          <w:tcPr>
            <w:tcW w:w="1916" w:type="dxa"/>
          </w:tcPr>
          <w:p w14:paraId="017E739B" w14:textId="77777777" w:rsidR="00990012" w:rsidRPr="00283748" w:rsidRDefault="00990012" w:rsidP="00891C50">
            <w:pPr>
              <w:jc w:val="right"/>
              <w:rPr>
                <w:rFonts w:ascii="Times New Roman" w:hAnsi="Times New Roman" w:cs="Times New Roman"/>
                <w:sz w:val="24"/>
              </w:rPr>
            </w:pPr>
            <w:r w:rsidRPr="00283748">
              <w:rPr>
                <w:rFonts w:ascii="Times New Roman" w:hAnsi="Times New Roman" w:cs="Times New Roman"/>
                <w:sz w:val="24"/>
              </w:rPr>
              <w:t>2,151,656</w:t>
            </w:r>
          </w:p>
        </w:tc>
      </w:tr>
      <w:tr w:rsidR="002A3219" w14:paraId="35855C2F" w14:textId="77777777" w:rsidTr="00891C50">
        <w:tc>
          <w:tcPr>
            <w:tcW w:w="1915" w:type="dxa"/>
          </w:tcPr>
          <w:p w14:paraId="611B58E8" w14:textId="6359E6E9" w:rsidR="002A3219" w:rsidRPr="00283748" w:rsidRDefault="005413D0" w:rsidP="00891C50">
            <w:pPr>
              <w:jc w:val="center"/>
              <w:rPr>
                <w:rFonts w:ascii="Times New Roman" w:hAnsi="Times New Roman" w:cs="Times New Roman"/>
                <w:sz w:val="24"/>
              </w:rPr>
            </w:pPr>
            <w:r>
              <w:rPr>
                <w:rFonts w:ascii="Times New Roman" w:hAnsi="Times New Roman" w:cs="Times New Roman"/>
                <w:sz w:val="24"/>
              </w:rPr>
              <w:t>2018/19</w:t>
            </w:r>
          </w:p>
        </w:tc>
        <w:tc>
          <w:tcPr>
            <w:tcW w:w="1915" w:type="dxa"/>
          </w:tcPr>
          <w:p w14:paraId="712EA6D4" w14:textId="5E1FAB5C" w:rsidR="002A3219" w:rsidRPr="00283748" w:rsidRDefault="00286D66" w:rsidP="00891C50">
            <w:pPr>
              <w:jc w:val="right"/>
              <w:rPr>
                <w:rFonts w:ascii="Times New Roman" w:hAnsi="Times New Roman" w:cs="Times New Roman"/>
                <w:sz w:val="24"/>
              </w:rPr>
            </w:pPr>
            <w:r>
              <w:rPr>
                <w:rFonts w:ascii="Times New Roman" w:hAnsi="Times New Roman" w:cs="Times New Roman"/>
                <w:sz w:val="24"/>
              </w:rPr>
              <w:t>5</w:t>
            </w:r>
            <w:r w:rsidR="00781945">
              <w:rPr>
                <w:rFonts w:ascii="Times New Roman" w:hAnsi="Times New Roman" w:cs="Times New Roman"/>
                <w:sz w:val="24"/>
              </w:rPr>
              <w:t>,594,170</w:t>
            </w:r>
          </w:p>
        </w:tc>
        <w:tc>
          <w:tcPr>
            <w:tcW w:w="1915" w:type="dxa"/>
          </w:tcPr>
          <w:p w14:paraId="25C2F819" w14:textId="74C8A154" w:rsidR="002A3219" w:rsidRPr="00283748" w:rsidRDefault="00781945" w:rsidP="00891C50">
            <w:pPr>
              <w:jc w:val="right"/>
              <w:rPr>
                <w:rFonts w:ascii="Times New Roman" w:hAnsi="Times New Roman" w:cs="Times New Roman"/>
                <w:sz w:val="24"/>
              </w:rPr>
            </w:pPr>
            <w:r>
              <w:rPr>
                <w:rFonts w:ascii="Times New Roman" w:hAnsi="Times New Roman" w:cs="Times New Roman"/>
                <w:sz w:val="24"/>
              </w:rPr>
              <w:t>1,250,000</w:t>
            </w:r>
          </w:p>
        </w:tc>
        <w:tc>
          <w:tcPr>
            <w:tcW w:w="1915" w:type="dxa"/>
          </w:tcPr>
          <w:p w14:paraId="43B48BE8" w14:textId="28A01DA5" w:rsidR="002A3219" w:rsidRPr="00283748" w:rsidRDefault="00557D24" w:rsidP="00891C50">
            <w:pPr>
              <w:jc w:val="right"/>
              <w:rPr>
                <w:rFonts w:ascii="Times New Roman" w:hAnsi="Times New Roman" w:cs="Times New Roman"/>
                <w:sz w:val="24"/>
              </w:rPr>
            </w:pPr>
            <w:r>
              <w:rPr>
                <w:rFonts w:ascii="Times New Roman" w:hAnsi="Times New Roman" w:cs="Times New Roman"/>
                <w:sz w:val="24"/>
              </w:rPr>
              <w:t>1,289,</w:t>
            </w:r>
            <w:r w:rsidR="00CF65B8">
              <w:rPr>
                <w:rFonts w:ascii="Times New Roman" w:hAnsi="Times New Roman" w:cs="Times New Roman"/>
                <w:sz w:val="24"/>
              </w:rPr>
              <w:t>745</w:t>
            </w:r>
          </w:p>
        </w:tc>
        <w:tc>
          <w:tcPr>
            <w:tcW w:w="1916" w:type="dxa"/>
          </w:tcPr>
          <w:p w14:paraId="00681F4C" w14:textId="6ADB3C1A" w:rsidR="002A3219" w:rsidRPr="00283748" w:rsidRDefault="001B47F1" w:rsidP="00891C50">
            <w:pPr>
              <w:jc w:val="right"/>
              <w:rPr>
                <w:rFonts w:ascii="Times New Roman" w:hAnsi="Times New Roman" w:cs="Times New Roman"/>
                <w:sz w:val="24"/>
              </w:rPr>
            </w:pPr>
            <w:r>
              <w:rPr>
                <w:rFonts w:ascii="Times New Roman" w:hAnsi="Times New Roman" w:cs="Times New Roman"/>
                <w:sz w:val="24"/>
              </w:rPr>
              <w:t>3,054</w:t>
            </w:r>
            <w:r w:rsidR="00437370">
              <w:rPr>
                <w:rFonts w:ascii="Times New Roman" w:hAnsi="Times New Roman" w:cs="Times New Roman"/>
                <w:sz w:val="24"/>
              </w:rPr>
              <w:t>,425</w:t>
            </w:r>
          </w:p>
        </w:tc>
      </w:tr>
      <w:tr w:rsidR="002A3219" w14:paraId="5A12CA1C" w14:textId="77777777" w:rsidTr="00891C50">
        <w:tc>
          <w:tcPr>
            <w:tcW w:w="1915" w:type="dxa"/>
          </w:tcPr>
          <w:p w14:paraId="06D1B7DE" w14:textId="1555EB07" w:rsidR="002A3219" w:rsidRPr="00283748" w:rsidRDefault="00781945" w:rsidP="00891C50">
            <w:pPr>
              <w:jc w:val="center"/>
              <w:rPr>
                <w:rFonts w:ascii="Times New Roman" w:hAnsi="Times New Roman" w:cs="Times New Roman"/>
                <w:sz w:val="24"/>
              </w:rPr>
            </w:pPr>
            <w:r>
              <w:rPr>
                <w:rFonts w:ascii="Times New Roman" w:hAnsi="Times New Roman" w:cs="Times New Roman"/>
                <w:sz w:val="24"/>
              </w:rPr>
              <w:t>2019/20</w:t>
            </w:r>
          </w:p>
        </w:tc>
        <w:tc>
          <w:tcPr>
            <w:tcW w:w="1915" w:type="dxa"/>
          </w:tcPr>
          <w:p w14:paraId="36876F87" w14:textId="28862D9D" w:rsidR="002A3219" w:rsidRPr="00283748" w:rsidRDefault="00FC7DC9" w:rsidP="00891C50">
            <w:pPr>
              <w:jc w:val="right"/>
              <w:rPr>
                <w:rFonts w:ascii="Times New Roman" w:hAnsi="Times New Roman" w:cs="Times New Roman"/>
                <w:sz w:val="24"/>
              </w:rPr>
            </w:pPr>
            <w:r>
              <w:rPr>
                <w:rFonts w:ascii="Times New Roman" w:hAnsi="Times New Roman" w:cs="Times New Roman"/>
                <w:sz w:val="24"/>
              </w:rPr>
              <w:t>5,148,911</w:t>
            </w:r>
          </w:p>
        </w:tc>
        <w:tc>
          <w:tcPr>
            <w:tcW w:w="1915" w:type="dxa"/>
          </w:tcPr>
          <w:p w14:paraId="04CE6A82" w14:textId="0B69556D" w:rsidR="002A3219" w:rsidRPr="00283748" w:rsidRDefault="00D16AC5" w:rsidP="00891C50">
            <w:pPr>
              <w:jc w:val="right"/>
              <w:rPr>
                <w:rFonts w:ascii="Times New Roman" w:hAnsi="Times New Roman" w:cs="Times New Roman"/>
                <w:sz w:val="24"/>
              </w:rPr>
            </w:pPr>
            <w:r>
              <w:rPr>
                <w:rFonts w:ascii="Times New Roman" w:hAnsi="Times New Roman" w:cs="Times New Roman"/>
                <w:sz w:val="24"/>
              </w:rPr>
              <w:t>1,250,000</w:t>
            </w:r>
          </w:p>
        </w:tc>
        <w:tc>
          <w:tcPr>
            <w:tcW w:w="1915" w:type="dxa"/>
          </w:tcPr>
          <w:p w14:paraId="7DD8B63E" w14:textId="37EA03EB" w:rsidR="002A3219" w:rsidRPr="00283748" w:rsidRDefault="00EB7871" w:rsidP="00891C50">
            <w:pPr>
              <w:jc w:val="right"/>
              <w:rPr>
                <w:rFonts w:ascii="Times New Roman" w:hAnsi="Times New Roman" w:cs="Times New Roman"/>
                <w:sz w:val="24"/>
              </w:rPr>
            </w:pPr>
            <w:r>
              <w:rPr>
                <w:rFonts w:ascii="Times New Roman" w:hAnsi="Times New Roman" w:cs="Times New Roman"/>
                <w:sz w:val="24"/>
              </w:rPr>
              <w:t>1,269,</w:t>
            </w:r>
            <w:r w:rsidR="0054337A">
              <w:rPr>
                <w:rFonts w:ascii="Times New Roman" w:hAnsi="Times New Roman" w:cs="Times New Roman"/>
                <w:sz w:val="24"/>
              </w:rPr>
              <w:t>327</w:t>
            </w:r>
          </w:p>
        </w:tc>
        <w:tc>
          <w:tcPr>
            <w:tcW w:w="1916" w:type="dxa"/>
          </w:tcPr>
          <w:p w14:paraId="7DD4717D" w14:textId="63AAA0B2" w:rsidR="002A3219" w:rsidRPr="00283748" w:rsidRDefault="000B1BB1" w:rsidP="00891C50">
            <w:pPr>
              <w:jc w:val="right"/>
              <w:rPr>
                <w:rFonts w:ascii="Times New Roman" w:hAnsi="Times New Roman" w:cs="Times New Roman"/>
                <w:sz w:val="24"/>
              </w:rPr>
            </w:pPr>
            <w:r>
              <w:rPr>
                <w:rFonts w:ascii="Times New Roman" w:hAnsi="Times New Roman" w:cs="Times New Roman"/>
                <w:sz w:val="24"/>
              </w:rPr>
              <w:t>2,629</w:t>
            </w:r>
            <w:r w:rsidR="000318A7">
              <w:rPr>
                <w:rFonts w:ascii="Times New Roman" w:hAnsi="Times New Roman" w:cs="Times New Roman"/>
                <w:sz w:val="24"/>
              </w:rPr>
              <w:t>,584</w:t>
            </w:r>
          </w:p>
        </w:tc>
      </w:tr>
      <w:tr w:rsidR="00891C50" w14:paraId="69B82817" w14:textId="77777777" w:rsidTr="00891C50">
        <w:tc>
          <w:tcPr>
            <w:tcW w:w="1915" w:type="dxa"/>
          </w:tcPr>
          <w:p w14:paraId="5C595F9A" w14:textId="77777777" w:rsidR="00891C50" w:rsidRPr="00283748" w:rsidRDefault="00891C50" w:rsidP="00891C50">
            <w:pPr>
              <w:jc w:val="center"/>
              <w:rPr>
                <w:rFonts w:ascii="Times New Roman" w:hAnsi="Times New Roman" w:cs="Times New Roman"/>
                <w:b/>
                <w:sz w:val="24"/>
              </w:rPr>
            </w:pPr>
            <w:r w:rsidRPr="00283748">
              <w:rPr>
                <w:rFonts w:ascii="Times New Roman" w:hAnsi="Times New Roman" w:cs="Times New Roman"/>
                <w:b/>
                <w:sz w:val="24"/>
              </w:rPr>
              <w:t>Totals</w:t>
            </w:r>
          </w:p>
        </w:tc>
        <w:tc>
          <w:tcPr>
            <w:tcW w:w="1915" w:type="dxa"/>
          </w:tcPr>
          <w:p w14:paraId="059981CA" w14:textId="6282DC68" w:rsidR="00891C50" w:rsidRPr="00283748" w:rsidRDefault="0004574C" w:rsidP="00891C50">
            <w:pPr>
              <w:jc w:val="right"/>
              <w:rPr>
                <w:rFonts w:ascii="Times New Roman" w:hAnsi="Times New Roman" w:cs="Times New Roman"/>
                <w:b/>
                <w:sz w:val="24"/>
              </w:rPr>
            </w:pPr>
            <w:r w:rsidRPr="00283748">
              <w:rPr>
                <w:rFonts w:ascii="Times New Roman" w:hAnsi="Times New Roman" w:cs="Times New Roman"/>
                <w:b/>
                <w:sz w:val="24"/>
              </w:rPr>
              <w:t>$</w:t>
            </w:r>
            <w:r w:rsidR="0085316E">
              <w:rPr>
                <w:rFonts w:ascii="Times New Roman" w:hAnsi="Times New Roman" w:cs="Times New Roman"/>
                <w:b/>
                <w:sz w:val="24"/>
              </w:rPr>
              <w:t>27,872,706</w:t>
            </w:r>
          </w:p>
        </w:tc>
        <w:tc>
          <w:tcPr>
            <w:tcW w:w="1915" w:type="dxa"/>
          </w:tcPr>
          <w:p w14:paraId="78ABF50A" w14:textId="76805076" w:rsidR="00891C50" w:rsidRPr="00283748" w:rsidRDefault="0004574C" w:rsidP="00891C50">
            <w:pPr>
              <w:jc w:val="right"/>
              <w:rPr>
                <w:rFonts w:ascii="Times New Roman" w:hAnsi="Times New Roman" w:cs="Times New Roman"/>
                <w:b/>
                <w:sz w:val="24"/>
              </w:rPr>
            </w:pPr>
            <w:r w:rsidRPr="00283748">
              <w:rPr>
                <w:rFonts w:ascii="Times New Roman" w:hAnsi="Times New Roman" w:cs="Times New Roman"/>
                <w:b/>
                <w:sz w:val="24"/>
              </w:rPr>
              <w:t>$</w:t>
            </w:r>
            <w:r w:rsidR="00393358">
              <w:rPr>
                <w:rFonts w:ascii="Times New Roman" w:hAnsi="Times New Roman" w:cs="Times New Roman"/>
                <w:b/>
                <w:sz w:val="24"/>
              </w:rPr>
              <w:t>7,487,950</w:t>
            </w:r>
          </w:p>
        </w:tc>
        <w:tc>
          <w:tcPr>
            <w:tcW w:w="1915" w:type="dxa"/>
          </w:tcPr>
          <w:p w14:paraId="43DE076E" w14:textId="282792BA" w:rsidR="00891C50" w:rsidRPr="00283748" w:rsidRDefault="0004574C" w:rsidP="00891C50">
            <w:pPr>
              <w:jc w:val="right"/>
              <w:rPr>
                <w:rFonts w:ascii="Times New Roman" w:hAnsi="Times New Roman" w:cs="Times New Roman"/>
                <w:b/>
                <w:sz w:val="24"/>
              </w:rPr>
            </w:pPr>
            <w:r w:rsidRPr="00283748">
              <w:rPr>
                <w:rFonts w:ascii="Times New Roman" w:hAnsi="Times New Roman" w:cs="Times New Roman"/>
                <w:b/>
                <w:sz w:val="24"/>
              </w:rPr>
              <w:t>$</w:t>
            </w:r>
            <w:r w:rsidR="000318A7">
              <w:rPr>
                <w:rFonts w:ascii="Times New Roman" w:hAnsi="Times New Roman" w:cs="Times New Roman"/>
                <w:b/>
                <w:sz w:val="24"/>
              </w:rPr>
              <w:t>7,245,096</w:t>
            </w:r>
          </w:p>
        </w:tc>
        <w:tc>
          <w:tcPr>
            <w:tcW w:w="1916" w:type="dxa"/>
          </w:tcPr>
          <w:p w14:paraId="1F477D89" w14:textId="6706D996" w:rsidR="00891C50" w:rsidRPr="00283748" w:rsidRDefault="0004574C" w:rsidP="00891C50">
            <w:pPr>
              <w:jc w:val="right"/>
              <w:rPr>
                <w:rFonts w:ascii="Times New Roman" w:hAnsi="Times New Roman" w:cs="Times New Roman"/>
                <w:b/>
                <w:sz w:val="24"/>
              </w:rPr>
            </w:pPr>
            <w:r w:rsidRPr="00283748">
              <w:rPr>
                <w:rFonts w:ascii="Times New Roman" w:hAnsi="Times New Roman" w:cs="Times New Roman"/>
                <w:b/>
                <w:sz w:val="24"/>
              </w:rPr>
              <w:t>$</w:t>
            </w:r>
            <w:r w:rsidR="00D43618">
              <w:rPr>
                <w:rFonts w:ascii="Times New Roman" w:hAnsi="Times New Roman" w:cs="Times New Roman"/>
                <w:b/>
                <w:sz w:val="24"/>
              </w:rPr>
              <w:t>13,139,660</w:t>
            </w:r>
          </w:p>
        </w:tc>
      </w:tr>
    </w:tbl>
    <w:p w14:paraId="3461D779" w14:textId="77777777" w:rsidR="00891C50" w:rsidRPr="00891C50" w:rsidRDefault="00891C50" w:rsidP="00891C50">
      <w:pPr>
        <w:spacing w:after="0"/>
        <w:ind w:left="360"/>
        <w:rPr>
          <w:rFonts w:ascii="Times New Roman" w:hAnsi="Times New Roman" w:cs="Times New Roman"/>
          <w:sz w:val="24"/>
        </w:rPr>
      </w:pPr>
    </w:p>
    <w:p w14:paraId="747CD0BE" w14:textId="77777777" w:rsidR="00697F49" w:rsidRDefault="00014512" w:rsidP="00731551">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 xml:space="preserve">Data bases of services across the state include information on more than </w:t>
      </w:r>
      <w:r w:rsidR="00182D31">
        <w:rPr>
          <w:rFonts w:ascii="Times New Roman" w:hAnsi="Times New Roman" w:cs="Times New Roman"/>
          <w:sz w:val="24"/>
        </w:rPr>
        <w:t>29</w:t>
      </w:r>
      <w:r>
        <w:rPr>
          <w:rFonts w:ascii="Times New Roman" w:hAnsi="Times New Roman" w:cs="Times New Roman"/>
          <w:sz w:val="24"/>
        </w:rPr>
        <w:t xml:space="preserve">,000 agencies and organizations that provide </w:t>
      </w:r>
      <w:r w:rsidR="00182D31">
        <w:rPr>
          <w:rFonts w:ascii="Times New Roman" w:hAnsi="Times New Roman" w:cs="Times New Roman"/>
          <w:sz w:val="24"/>
        </w:rPr>
        <w:t>69</w:t>
      </w:r>
      <w:r>
        <w:rPr>
          <w:rFonts w:ascii="Times New Roman" w:hAnsi="Times New Roman" w:cs="Times New Roman"/>
          <w:sz w:val="24"/>
        </w:rPr>
        <w:t xml:space="preserve">,000 programs </w:t>
      </w:r>
      <w:r w:rsidR="00182D31">
        <w:rPr>
          <w:rFonts w:ascii="Times New Roman" w:hAnsi="Times New Roman" w:cs="Times New Roman"/>
          <w:sz w:val="24"/>
        </w:rPr>
        <w:t>and services</w:t>
      </w:r>
      <w:r>
        <w:rPr>
          <w:rFonts w:ascii="Times New Roman" w:hAnsi="Times New Roman" w:cs="Times New Roman"/>
          <w:sz w:val="24"/>
        </w:rPr>
        <w:t>– information on these can be access</w:t>
      </w:r>
      <w:r w:rsidR="00182D31">
        <w:rPr>
          <w:rFonts w:ascii="Times New Roman" w:hAnsi="Times New Roman" w:cs="Times New Roman"/>
          <w:sz w:val="24"/>
        </w:rPr>
        <w:t>ed</w:t>
      </w:r>
      <w:r>
        <w:rPr>
          <w:rFonts w:ascii="Times New Roman" w:hAnsi="Times New Roman" w:cs="Times New Roman"/>
          <w:sz w:val="24"/>
        </w:rPr>
        <w:t xml:space="preserve"> by phone and on the web</w:t>
      </w:r>
    </w:p>
    <w:p w14:paraId="3CF2D8B6" w14:textId="77777777" w:rsidR="00FA4F82" w:rsidRDefault="00FA4F82" w:rsidP="320AD7D3">
      <w:pPr>
        <w:spacing w:after="0"/>
        <w:ind w:left="360"/>
        <w:rPr>
          <w:rFonts w:ascii="Times New Roman" w:hAnsi="Times New Roman" w:cs="Times New Roman"/>
          <w:sz w:val="24"/>
          <w:szCs w:val="24"/>
        </w:rPr>
      </w:pPr>
    </w:p>
    <w:p w14:paraId="5A87649A" w14:textId="77777777" w:rsidR="00742D3C" w:rsidRDefault="00314870" w:rsidP="00731551">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Highlight</w:t>
      </w:r>
      <w:r w:rsidR="00742D3C" w:rsidRPr="00731551">
        <w:rPr>
          <w:rFonts w:ascii="Times New Roman" w:hAnsi="Times New Roman" w:cs="Times New Roman"/>
          <w:sz w:val="24"/>
        </w:rPr>
        <w:t xml:space="preserve"> usage – call volume, web usag</w:t>
      </w:r>
      <w:r>
        <w:rPr>
          <w:rFonts w:ascii="Times New Roman" w:hAnsi="Times New Roman" w:cs="Times New Roman"/>
          <w:sz w:val="24"/>
        </w:rPr>
        <w:t>e, DD Info Link, VITA, local,</w:t>
      </w:r>
      <w:r w:rsidR="00742D3C" w:rsidRPr="00731551">
        <w:rPr>
          <w:rFonts w:ascii="Times New Roman" w:hAnsi="Times New Roman" w:cs="Times New Roman"/>
          <w:sz w:val="24"/>
        </w:rPr>
        <w:t xml:space="preserve"> special projects.</w:t>
      </w:r>
    </w:p>
    <w:p w14:paraId="2611D2EA" w14:textId="385B740F" w:rsidR="006F6037" w:rsidRPr="00283748" w:rsidRDefault="320AD7D3" w:rsidP="320AD7D3">
      <w:pPr>
        <w:pStyle w:val="ListParagraph"/>
        <w:numPr>
          <w:ilvl w:val="1"/>
          <w:numId w:val="7"/>
        </w:numPr>
        <w:spacing w:after="0"/>
        <w:rPr>
          <w:rFonts w:ascii="Times New Roman" w:hAnsi="Times New Roman" w:cs="Times New Roman"/>
          <w:sz w:val="24"/>
          <w:szCs w:val="24"/>
        </w:rPr>
      </w:pPr>
      <w:r w:rsidRPr="320AD7D3">
        <w:rPr>
          <w:rFonts w:ascii="Times New Roman" w:hAnsi="Times New Roman"/>
          <w:sz w:val="24"/>
          <w:szCs w:val="24"/>
        </w:rPr>
        <w:t>2-1-1 contacts continue to increase</w:t>
      </w:r>
      <w:r w:rsidRPr="00D8523C">
        <w:rPr>
          <w:rFonts w:ascii="Times New Roman" w:hAnsi="Times New Roman"/>
          <w:sz w:val="24"/>
          <w:szCs w:val="24"/>
        </w:rPr>
        <w:t>:   In 201</w:t>
      </w:r>
      <w:r w:rsidR="00A65CE5" w:rsidRPr="00D8523C">
        <w:rPr>
          <w:rFonts w:ascii="Times New Roman" w:hAnsi="Times New Roman"/>
          <w:sz w:val="24"/>
          <w:szCs w:val="24"/>
        </w:rPr>
        <w:t>8</w:t>
      </w:r>
      <w:r w:rsidRPr="00D8523C">
        <w:rPr>
          <w:rFonts w:ascii="Times New Roman" w:hAnsi="Times New Roman"/>
          <w:sz w:val="24"/>
          <w:szCs w:val="24"/>
        </w:rPr>
        <w:t xml:space="preserve">, 2-1-1 reported </w:t>
      </w:r>
      <w:r w:rsidR="0078781E" w:rsidRPr="00D8523C">
        <w:rPr>
          <w:rFonts w:ascii="Times New Roman" w:hAnsi="Times New Roman"/>
          <w:sz w:val="24"/>
          <w:szCs w:val="24"/>
        </w:rPr>
        <w:t>2.7</w:t>
      </w:r>
      <w:r w:rsidRPr="00D8523C">
        <w:rPr>
          <w:rFonts w:ascii="Times New Roman" w:hAnsi="Times New Roman"/>
          <w:sz w:val="24"/>
          <w:szCs w:val="24"/>
        </w:rPr>
        <w:t xml:space="preserve"> million contacts:  </w:t>
      </w:r>
      <w:r w:rsidR="00F565A1" w:rsidRPr="00D8523C">
        <w:rPr>
          <w:rFonts w:ascii="Times New Roman" w:hAnsi="Times New Roman"/>
          <w:sz w:val="24"/>
          <w:szCs w:val="24"/>
        </w:rPr>
        <w:t>1.8</w:t>
      </w:r>
      <w:r w:rsidRPr="00D8523C">
        <w:rPr>
          <w:rFonts w:ascii="Times New Roman" w:hAnsi="Times New Roman"/>
          <w:sz w:val="24"/>
          <w:szCs w:val="24"/>
        </w:rPr>
        <w:t xml:space="preserve"> million calls</w:t>
      </w:r>
      <w:r w:rsidR="00F565A1" w:rsidRPr="00D8523C">
        <w:rPr>
          <w:rFonts w:ascii="Times New Roman" w:hAnsi="Times New Roman"/>
          <w:sz w:val="24"/>
          <w:szCs w:val="24"/>
        </w:rPr>
        <w:t xml:space="preserve"> (the most in the country)</w:t>
      </w:r>
      <w:r w:rsidRPr="00D8523C">
        <w:rPr>
          <w:rFonts w:ascii="Times New Roman" w:hAnsi="Times New Roman"/>
          <w:sz w:val="24"/>
          <w:szCs w:val="24"/>
        </w:rPr>
        <w:t xml:space="preserve">, </w:t>
      </w:r>
      <w:r w:rsidR="00D8523C" w:rsidRPr="00D8523C">
        <w:rPr>
          <w:rFonts w:ascii="Times New Roman" w:hAnsi="Times New Roman"/>
          <w:sz w:val="24"/>
          <w:szCs w:val="24"/>
        </w:rPr>
        <w:t>897,625</w:t>
      </w:r>
      <w:r w:rsidRPr="00D8523C">
        <w:rPr>
          <w:rFonts w:ascii="Times New Roman" w:hAnsi="Times New Roman"/>
          <w:sz w:val="24"/>
          <w:szCs w:val="24"/>
        </w:rPr>
        <w:t xml:space="preserve"> million web visits </w:t>
      </w:r>
      <w:r w:rsidR="00D8523C" w:rsidRPr="00D8523C">
        <w:rPr>
          <w:rFonts w:ascii="Times New Roman" w:hAnsi="Times New Roman"/>
          <w:sz w:val="24"/>
          <w:szCs w:val="24"/>
        </w:rPr>
        <w:t xml:space="preserve">(exclusive of NYC) </w:t>
      </w:r>
      <w:r w:rsidRPr="00D8523C">
        <w:rPr>
          <w:rFonts w:ascii="Times New Roman" w:hAnsi="Times New Roman"/>
          <w:sz w:val="24"/>
          <w:szCs w:val="24"/>
        </w:rPr>
        <w:t xml:space="preserve">and just </w:t>
      </w:r>
      <w:r w:rsidR="00D8523C" w:rsidRPr="00D8523C">
        <w:rPr>
          <w:rFonts w:ascii="Times New Roman" w:hAnsi="Times New Roman"/>
          <w:sz w:val="24"/>
          <w:szCs w:val="24"/>
        </w:rPr>
        <w:t>under 9,000</w:t>
      </w:r>
      <w:r w:rsidRPr="00D8523C">
        <w:rPr>
          <w:rFonts w:ascii="Times New Roman" w:hAnsi="Times New Roman"/>
          <w:sz w:val="24"/>
          <w:szCs w:val="24"/>
        </w:rPr>
        <w:t xml:space="preserve"> text-based contacts.    </w:t>
      </w:r>
      <w:r w:rsidR="00D8523C">
        <w:rPr>
          <w:rFonts w:ascii="Times New Roman" w:hAnsi="Times New Roman"/>
          <w:sz w:val="24"/>
          <w:szCs w:val="24"/>
        </w:rPr>
        <w:t>Texting is increasingly available through the system in NYS.</w:t>
      </w:r>
    </w:p>
    <w:p w14:paraId="5CDE5AEB" w14:textId="59C7C18E" w:rsidR="006F6037" w:rsidRPr="00491689" w:rsidRDefault="320AD7D3" w:rsidP="320AD7D3">
      <w:pPr>
        <w:pStyle w:val="ListParagraph"/>
        <w:numPr>
          <w:ilvl w:val="1"/>
          <w:numId w:val="7"/>
        </w:numPr>
        <w:spacing w:after="0"/>
        <w:rPr>
          <w:rFonts w:ascii="Times New Roman" w:hAnsi="Times New Roman" w:cs="Times New Roman"/>
          <w:sz w:val="24"/>
          <w:szCs w:val="24"/>
        </w:rPr>
      </w:pPr>
      <w:r w:rsidRPr="00491689">
        <w:rPr>
          <w:rFonts w:ascii="Times New Roman" w:hAnsi="Times New Roman" w:cs="Times New Roman"/>
          <w:sz w:val="24"/>
          <w:szCs w:val="24"/>
        </w:rPr>
        <w:t>2-1-1 is an important partner during a disaster</w:t>
      </w:r>
      <w:r w:rsidR="00491689">
        <w:rPr>
          <w:rFonts w:ascii="Times New Roman" w:hAnsi="Times New Roman" w:cs="Times New Roman"/>
          <w:sz w:val="24"/>
          <w:szCs w:val="24"/>
        </w:rPr>
        <w:t>, providing both information and referral as well as collecting real-time data on unmet needs</w:t>
      </w:r>
      <w:r w:rsidRPr="00491689">
        <w:rPr>
          <w:rFonts w:ascii="Times New Roman" w:hAnsi="Times New Roman" w:cs="Times New Roman"/>
          <w:sz w:val="24"/>
          <w:szCs w:val="24"/>
        </w:rPr>
        <w:t>.  July 1 flooding in the greater Utica area prompted 560 calls to 2-1-1 from those affected, freeing 911 responders for emergencies.</w:t>
      </w:r>
      <w:r w:rsidR="002A3403">
        <w:rPr>
          <w:rFonts w:ascii="Times New Roman" w:hAnsi="Times New Roman" w:cs="Times New Roman"/>
          <w:sz w:val="24"/>
          <w:szCs w:val="24"/>
        </w:rPr>
        <w:t xml:space="preserve">  Halloween floods resulted in just under 600 damage reports made through 2-1-1, allowing partner providers to leverage resources for those affected households.  </w:t>
      </w:r>
    </w:p>
    <w:p w14:paraId="53B03D36" w14:textId="77777777" w:rsidR="00014512" w:rsidRPr="006F6037" w:rsidRDefault="00182D31" w:rsidP="00014512">
      <w:pPr>
        <w:pStyle w:val="ListParagraph"/>
        <w:numPr>
          <w:ilvl w:val="1"/>
          <w:numId w:val="7"/>
        </w:numPr>
        <w:spacing w:after="0"/>
        <w:rPr>
          <w:rFonts w:ascii="Times New Roman" w:hAnsi="Times New Roman" w:cs="Times New Roman"/>
          <w:sz w:val="24"/>
        </w:rPr>
      </w:pPr>
      <w:r w:rsidRPr="006F6037">
        <w:rPr>
          <w:rFonts w:ascii="Times New Roman" w:hAnsi="Times New Roman" w:cs="Times New Roman"/>
          <w:sz w:val="24"/>
        </w:rPr>
        <w:t>D</w:t>
      </w:r>
      <w:r w:rsidR="00014512" w:rsidRPr="006F6037">
        <w:rPr>
          <w:rFonts w:ascii="Times New Roman" w:hAnsi="Times New Roman" w:cs="Times New Roman"/>
          <w:sz w:val="24"/>
        </w:rPr>
        <w:t>D Info Link – access point to data bases of services for individuals with intellectual and developmental disabilities</w:t>
      </w:r>
    </w:p>
    <w:p w14:paraId="35EA9E6E" w14:textId="467BAB0B" w:rsidR="00014512" w:rsidRDefault="00014512" w:rsidP="00014512">
      <w:pPr>
        <w:pStyle w:val="ListParagraph"/>
        <w:numPr>
          <w:ilvl w:val="1"/>
          <w:numId w:val="7"/>
        </w:numPr>
        <w:spacing w:after="0"/>
        <w:rPr>
          <w:rFonts w:ascii="Times New Roman" w:hAnsi="Times New Roman" w:cs="Times New Roman"/>
          <w:sz w:val="24"/>
        </w:rPr>
      </w:pPr>
      <w:r>
        <w:rPr>
          <w:rFonts w:ascii="Times New Roman" w:hAnsi="Times New Roman" w:cs="Times New Roman"/>
          <w:sz w:val="24"/>
        </w:rPr>
        <w:t xml:space="preserve">Used locally to support foster care recruitment, transportation, health insurance enrollment, </w:t>
      </w:r>
      <w:r w:rsidR="00D8523C">
        <w:rPr>
          <w:rFonts w:ascii="Times New Roman" w:hAnsi="Times New Roman" w:cs="Times New Roman"/>
          <w:sz w:val="24"/>
        </w:rPr>
        <w:t>veterans’</w:t>
      </w:r>
      <w:r>
        <w:rPr>
          <w:rFonts w:ascii="Times New Roman" w:hAnsi="Times New Roman" w:cs="Times New Roman"/>
          <w:sz w:val="24"/>
        </w:rPr>
        <w:t xml:space="preserve"> services, volunteer income tax assistance</w:t>
      </w:r>
    </w:p>
    <w:p w14:paraId="6F73A9E5" w14:textId="77777777" w:rsidR="006F6037" w:rsidRDefault="006F6037" w:rsidP="006F6037">
      <w:pPr>
        <w:pStyle w:val="ListParagraph"/>
        <w:numPr>
          <w:ilvl w:val="0"/>
          <w:numId w:val="7"/>
        </w:numPr>
        <w:spacing w:after="0"/>
        <w:rPr>
          <w:rFonts w:ascii="Times New Roman" w:hAnsi="Times New Roman" w:cs="Times New Roman"/>
          <w:sz w:val="24"/>
        </w:rPr>
      </w:pPr>
      <w:r w:rsidRPr="00283748">
        <w:rPr>
          <w:rFonts w:ascii="Times New Roman" w:hAnsi="Times New Roman" w:cs="Times New Roman"/>
          <w:sz w:val="24"/>
        </w:rPr>
        <w:t>2-1-1 helps ALICE.</w:t>
      </w:r>
    </w:p>
    <w:p w14:paraId="34CA7066" w14:textId="77777777" w:rsidR="008F025B" w:rsidRPr="00283748" w:rsidRDefault="6356A574" w:rsidP="320AD7D3">
      <w:pPr>
        <w:pStyle w:val="ListParagraph"/>
        <w:numPr>
          <w:ilvl w:val="0"/>
          <w:numId w:val="7"/>
        </w:numPr>
        <w:spacing w:after="0"/>
        <w:rPr>
          <w:rFonts w:ascii="Times New Roman" w:hAnsi="Times New Roman" w:cs="Times New Roman"/>
          <w:sz w:val="24"/>
          <w:szCs w:val="24"/>
        </w:rPr>
      </w:pPr>
      <w:r w:rsidRPr="6356A574">
        <w:rPr>
          <w:rFonts w:ascii="Times New Roman" w:hAnsi="Times New Roman" w:cs="Times New Roman"/>
          <w:sz w:val="24"/>
          <w:szCs w:val="24"/>
        </w:rPr>
        <w:t>There are numerous emerging opportunities in the health arena, for which 2-1-1 could be considered an immediately available resource for information and referral.</w:t>
      </w:r>
    </w:p>
    <w:p w14:paraId="778CC44A" w14:textId="4330C0AC" w:rsidR="6356A574" w:rsidRDefault="6356A574" w:rsidP="6356A574">
      <w:pPr>
        <w:spacing w:after="0"/>
        <w:rPr>
          <w:rFonts w:ascii="Times New Roman" w:hAnsi="Times New Roman" w:cs="Times New Roman"/>
          <w:sz w:val="24"/>
          <w:szCs w:val="24"/>
        </w:rPr>
      </w:pPr>
    </w:p>
    <w:p w14:paraId="0FB78278" w14:textId="256E1F88" w:rsidR="00CE1F1D" w:rsidRDefault="6356A574" w:rsidP="6356A574">
      <w:pPr>
        <w:spacing w:after="0"/>
        <w:rPr>
          <w:rFonts w:ascii="Times New Roman" w:hAnsi="Times New Roman" w:cs="Times New Roman"/>
          <w:sz w:val="24"/>
          <w:szCs w:val="24"/>
        </w:rPr>
      </w:pPr>
      <w:r w:rsidRPr="00491689">
        <w:rPr>
          <w:rFonts w:ascii="Times New Roman" w:hAnsi="Times New Roman" w:cs="Times New Roman"/>
          <w:sz w:val="24"/>
          <w:szCs w:val="24"/>
        </w:rPr>
        <w:t>Request $500,000 and include 2-1-1 in NY</w:t>
      </w:r>
      <w:r w:rsidR="00491689">
        <w:rPr>
          <w:rFonts w:ascii="Times New Roman" w:hAnsi="Times New Roman" w:cs="Times New Roman"/>
          <w:sz w:val="24"/>
          <w:szCs w:val="24"/>
        </w:rPr>
        <w:t>S’s</w:t>
      </w:r>
      <w:r w:rsidRPr="00491689">
        <w:rPr>
          <w:rFonts w:ascii="Times New Roman" w:hAnsi="Times New Roman" w:cs="Times New Roman"/>
          <w:sz w:val="24"/>
          <w:szCs w:val="24"/>
        </w:rPr>
        <w:t xml:space="preserve"> Emergency Plan</w:t>
      </w:r>
      <w:r w:rsidR="001B5A91">
        <w:rPr>
          <w:rFonts w:ascii="Times New Roman" w:hAnsi="Times New Roman" w:cs="Times New Roman"/>
          <w:sz w:val="24"/>
          <w:szCs w:val="24"/>
        </w:rPr>
        <w:t>:</w:t>
      </w:r>
    </w:p>
    <w:p w14:paraId="0CBC7329" w14:textId="7CBFE50E" w:rsidR="001B5A91" w:rsidRPr="001B5A91" w:rsidRDefault="001B5A91" w:rsidP="001B5A91">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To strengthen 2-1-1’s infrastructure specifically for disaster response and enhance the system’s capacity to respond.</w:t>
      </w:r>
    </w:p>
    <w:p w14:paraId="58E7AE2F" w14:textId="30C5809A" w:rsidR="6356A574" w:rsidRDefault="6356A574" w:rsidP="6356A574">
      <w:pPr>
        <w:spacing w:after="0"/>
        <w:rPr>
          <w:rFonts w:ascii="Times New Roman" w:hAnsi="Times New Roman" w:cs="Times New Roman"/>
          <w:sz w:val="24"/>
          <w:szCs w:val="24"/>
          <w:highlight w:val="cyan"/>
        </w:rPr>
      </w:pPr>
    </w:p>
    <w:p w14:paraId="47264450" w14:textId="34DC75B0" w:rsidR="6356A574" w:rsidRDefault="00947C5D" w:rsidP="6356A574">
      <w:pPr>
        <w:spacing w:after="0"/>
        <w:rPr>
          <w:rFonts w:ascii="Times New Roman" w:hAnsi="Times New Roman" w:cs="Times New Roman"/>
          <w:sz w:val="24"/>
          <w:szCs w:val="24"/>
        </w:rPr>
      </w:pPr>
      <w:r>
        <w:rPr>
          <w:rFonts w:ascii="Times New Roman" w:hAnsi="Times New Roman" w:cs="Times New Roman"/>
          <w:sz w:val="24"/>
          <w:szCs w:val="24"/>
        </w:rPr>
        <w:t>Request $55,000 for the purposes of implementing statewide texting, including opioid.</w:t>
      </w:r>
    </w:p>
    <w:p w14:paraId="30435290" w14:textId="3FA1F132" w:rsidR="6356A574" w:rsidRDefault="6356A574" w:rsidP="6356A574">
      <w:pPr>
        <w:spacing w:after="0"/>
        <w:rPr>
          <w:rFonts w:ascii="Times New Roman" w:hAnsi="Times New Roman" w:cs="Times New Roman"/>
          <w:sz w:val="24"/>
          <w:szCs w:val="24"/>
        </w:rPr>
      </w:pPr>
    </w:p>
    <w:p w14:paraId="1B033BDE" w14:textId="248D0803" w:rsidR="00CE1F1D" w:rsidRPr="003822F9" w:rsidRDefault="74E74CC0" w:rsidP="74E74CC0">
      <w:pPr>
        <w:pStyle w:val="ListParagraph"/>
        <w:numPr>
          <w:ilvl w:val="0"/>
          <w:numId w:val="11"/>
        </w:numPr>
        <w:spacing w:after="0"/>
        <w:rPr>
          <w:rFonts w:ascii="Times New Roman" w:hAnsi="Times New Roman" w:cs="Times New Roman"/>
          <w:b/>
          <w:bCs/>
          <w:sz w:val="24"/>
          <w:szCs w:val="24"/>
          <w:u w:val="single"/>
        </w:rPr>
      </w:pPr>
      <w:r w:rsidRPr="74E74CC0">
        <w:rPr>
          <w:rFonts w:ascii="Times New Roman" w:hAnsi="Times New Roman" w:cs="Times New Roman"/>
          <w:b/>
          <w:bCs/>
          <w:sz w:val="24"/>
          <w:szCs w:val="24"/>
          <w:u w:val="single"/>
        </w:rPr>
        <w:t xml:space="preserve"> Economic Security: ESPRI, ALICE, Working Family Tax Credits</w:t>
      </w:r>
    </w:p>
    <w:p w14:paraId="106D8F0B" w14:textId="0F389CE7" w:rsidR="00CE1F1D" w:rsidRPr="009E31CB" w:rsidRDefault="00CE1F1D" w:rsidP="74E74CC0">
      <w:pPr>
        <w:spacing w:after="0"/>
        <w:rPr>
          <w:rFonts w:ascii="Times New Roman" w:hAnsi="Times New Roman" w:cs="Times New Roman"/>
          <w:b/>
          <w:bCs/>
          <w:sz w:val="24"/>
          <w:szCs w:val="24"/>
          <w:u w:val="single"/>
        </w:rPr>
      </w:pPr>
      <w:bookmarkStart w:id="0" w:name="_GoBack"/>
      <w:bookmarkEnd w:id="0"/>
    </w:p>
    <w:p w14:paraId="7D478295" w14:textId="52A57D85" w:rsidR="00CE1F1D" w:rsidRPr="009E31CB" w:rsidRDefault="74E74CC0" w:rsidP="74E74CC0">
      <w:pPr>
        <w:spacing w:after="0"/>
        <w:rPr>
          <w:rFonts w:ascii="Times New Roman" w:hAnsi="Times New Roman" w:cs="Times New Roman"/>
          <w:sz w:val="24"/>
          <w:szCs w:val="24"/>
        </w:rPr>
      </w:pPr>
      <w:r w:rsidRPr="74E74CC0">
        <w:rPr>
          <w:rFonts w:ascii="Times New Roman" w:hAnsi="Times New Roman" w:cs="Times New Roman"/>
          <w:b/>
          <w:bCs/>
          <w:sz w:val="24"/>
          <w:szCs w:val="24"/>
          <w:u w:val="single"/>
        </w:rPr>
        <w:t>ESPRI;</w:t>
      </w:r>
      <w:r w:rsidRPr="74E74CC0">
        <w:rPr>
          <w:rFonts w:ascii="Times New Roman" w:hAnsi="Times New Roman" w:cs="Times New Roman"/>
          <w:sz w:val="24"/>
          <w:szCs w:val="24"/>
        </w:rPr>
        <w:t xml:space="preserve"> Build upon lessons learned as the need to address the underlying issues that inhibit family stability and economic mobility  </w:t>
      </w:r>
    </w:p>
    <w:p w14:paraId="02614873" w14:textId="06E9DF15" w:rsidR="00CE1F1D" w:rsidRPr="009E31CB" w:rsidRDefault="00CE1F1D" w:rsidP="74E74CC0">
      <w:pPr>
        <w:spacing w:after="0"/>
        <w:ind w:left="360"/>
        <w:rPr>
          <w:rFonts w:ascii="Times New Roman" w:hAnsi="Times New Roman" w:cs="Times New Roman"/>
          <w:sz w:val="24"/>
          <w:szCs w:val="24"/>
        </w:rPr>
      </w:pPr>
    </w:p>
    <w:p w14:paraId="79A84C2D" w14:textId="7A4FCAD8" w:rsidR="0045615E" w:rsidRPr="009E31CB" w:rsidRDefault="320AD7D3" w:rsidP="320AD7D3">
      <w:pPr>
        <w:pStyle w:val="ListParagraph"/>
        <w:numPr>
          <w:ilvl w:val="0"/>
          <w:numId w:val="13"/>
        </w:numPr>
        <w:spacing w:after="0"/>
        <w:rPr>
          <w:rFonts w:ascii="Times New Roman" w:hAnsi="Times New Roman" w:cs="Times New Roman"/>
          <w:sz w:val="24"/>
          <w:szCs w:val="24"/>
          <w:u w:val="single"/>
        </w:rPr>
      </w:pPr>
      <w:r w:rsidRPr="320AD7D3">
        <w:rPr>
          <w:rFonts w:ascii="Times New Roman" w:hAnsi="Times New Roman" w:cs="Times New Roman"/>
          <w:sz w:val="24"/>
          <w:szCs w:val="24"/>
        </w:rPr>
        <w:t>Recommend funds beyond the initial investment to target this multi-generation, systemic community issue. (amount to be determined by ESPRI Group)</w:t>
      </w:r>
    </w:p>
    <w:p w14:paraId="1838C50F" w14:textId="77777777" w:rsidR="008F025B" w:rsidRPr="00283748" w:rsidRDefault="320AD7D3" w:rsidP="320AD7D3">
      <w:pPr>
        <w:pStyle w:val="ListParagraph"/>
        <w:numPr>
          <w:ilvl w:val="0"/>
          <w:numId w:val="13"/>
        </w:numPr>
        <w:spacing w:after="0"/>
        <w:rPr>
          <w:rFonts w:ascii="Times New Roman" w:hAnsi="Times New Roman" w:cs="Times New Roman"/>
          <w:sz w:val="24"/>
          <w:szCs w:val="24"/>
          <w:u w:val="single"/>
        </w:rPr>
      </w:pPr>
      <w:r w:rsidRPr="320AD7D3">
        <w:rPr>
          <w:rFonts w:ascii="Times New Roman" w:hAnsi="Times New Roman" w:cs="Times New Roman"/>
          <w:sz w:val="24"/>
          <w:szCs w:val="24"/>
        </w:rPr>
        <w:t xml:space="preserve">We recognize that non-ESPRI areas have needs, as well and therefore should not be excluded from state funding opportunities. </w:t>
      </w:r>
    </w:p>
    <w:p w14:paraId="77791800" w14:textId="77777777" w:rsidR="0004574C" w:rsidRPr="00283748" w:rsidRDefault="00BD7ACD" w:rsidP="006F6037">
      <w:pPr>
        <w:pStyle w:val="ListParagraph"/>
        <w:numPr>
          <w:ilvl w:val="0"/>
          <w:numId w:val="13"/>
        </w:numPr>
        <w:spacing w:after="0"/>
        <w:rPr>
          <w:rFonts w:ascii="Times New Roman" w:hAnsi="Times New Roman" w:cs="Times New Roman"/>
          <w:sz w:val="24"/>
        </w:rPr>
      </w:pPr>
      <w:r>
        <w:rPr>
          <w:rFonts w:ascii="Times New Roman" w:hAnsi="Times New Roman" w:cs="Times New Roman"/>
          <w:sz w:val="24"/>
        </w:rPr>
        <w:t>O</w:t>
      </w:r>
      <w:r w:rsidR="0045615E" w:rsidRPr="006F6037">
        <w:rPr>
          <w:rFonts w:ascii="Times New Roman" w:hAnsi="Times New Roman" w:cs="Times New Roman"/>
          <w:sz w:val="24"/>
        </w:rPr>
        <w:t>thers as may emerge f</w:t>
      </w:r>
      <w:r w:rsidR="003822F9" w:rsidRPr="006F6037">
        <w:rPr>
          <w:rFonts w:ascii="Times New Roman" w:hAnsi="Times New Roman" w:cs="Times New Roman"/>
          <w:sz w:val="24"/>
        </w:rPr>
        <w:t>r</w:t>
      </w:r>
      <w:r w:rsidR="006F6037">
        <w:rPr>
          <w:rFonts w:ascii="Times New Roman" w:hAnsi="Times New Roman" w:cs="Times New Roman"/>
          <w:sz w:val="24"/>
        </w:rPr>
        <w:t xml:space="preserve">om coalition work </w:t>
      </w:r>
      <w:r w:rsidR="006F6037" w:rsidRPr="00283748">
        <w:rPr>
          <w:rFonts w:ascii="Times New Roman" w:hAnsi="Times New Roman" w:cs="Times New Roman"/>
          <w:sz w:val="24"/>
        </w:rPr>
        <w:t>and the identification of policy and regulatory changes that may help</w:t>
      </w:r>
    </w:p>
    <w:p w14:paraId="1FC39945" w14:textId="77777777" w:rsidR="006F6037" w:rsidRPr="006F6037" w:rsidRDefault="006F6037" w:rsidP="006F6037">
      <w:pPr>
        <w:spacing w:after="0"/>
        <w:ind w:left="360"/>
        <w:rPr>
          <w:rFonts w:ascii="Times New Roman" w:hAnsi="Times New Roman" w:cs="Times New Roman"/>
          <w:sz w:val="24"/>
        </w:rPr>
      </w:pPr>
    </w:p>
    <w:p w14:paraId="11DCA5F1" w14:textId="77777777" w:rsidR="00CE1F1D" w:rsidRPr="00CE1F1D" w:rsidRDefault="003822F9" w:rsidP="003822F9">
      <w:pPr>
        <w:pStyle w:val="ListParagraph"/>
        <w:spacing w:after="0"/>
        <w:ind w:left="0"/>
        <w:rPr>
          <w:rFonts w:ascii="Times New Roman" w:hAnsi="Times New Roman" w:cs="Times New Roman"/>
          <w:sz w:val="24"/>
          <w:u w:val="single"/>
        </w:rPr>
      </w:pPr>
      <w:r>
        <w:rPr>
          <w:rFonts w:ascii="Times New Roman" w:hAnsi="Times New Roman" w:cs="Times New Roman"/>
          <w:sz w:val="24"/>
        </w:rPr>
        <w:t xml:space="preserve">Advocacy points: </w:t>
      </w:r>
      <w:r w:rsidR="00FA4F82">
        <w:rPr>
          <w:rFonts w:ascii="Times New Roman" w:hAnsi="Times New Roman" w:cs="Times New Roman"/>
          <w:sz w:val="24"/>
        </w:rPr>
        <w:t xml:space="preserve">Focus on </w:t>
      </w:r>
      <w:r w:rsidR="00CE1F1D">
        <w:rPr>
          <w:rFonts w:ascii="Times New Roman" w:hAnsi="Times New Roman" w:cs="Times New Roman"/>
          <w:sz w:val="24"/>
        </w:rPr>
        <w:t>what needs to be in place and strengthened in order to improve the economic well-being of New York’s poorest residents</w:t>
      </w:r>
    </w:p>
    <w:p w14:paraId="67A9C11C" w14:textId="77777777" w:rsidR="002620C3" w:rsidRPr="00283748" w:rsidRDefault="002620C3" w:rsidP="003822F9">
      <w:pPr>
        <w:pStyle w:val="ListParagraph"/>
        <w:numPr>
          <w:ilvl w:val="0"/>
          <w:numId w:val="14"/>
        </w:numPr>
        <w:spacing w:after="0"/>
        <w:rPr>
          <w:rFonts w:ascii="Times New Roman" w:hAnsi="Times New Roman" w:cs="Times New Roman"/>
          <w:sz w:val="24"/>
          <w:u w:val="single"/>
        </w:rPr>
      </w:pPr>
      <w:r w:rsidRPr="00283748">
        <w:rPr>
          <w:rFonts w:ascii="Times New Roman" w:hAnsi="Times New Roman" w:cs="Times New Roman"/>
          <w:sz w:val="24"/>
        </w:rPr>
        <w:t>Many ESPRI communities are making extensive use of ALICE data to isolate and identify both challenges and opportunities</w:t>
      </w:r>
    </w:p>
    <w:p w14:paraId="2B13B8E4" w14:textId="77777777" w:rsidR="003822F9" w:rsidRPr="003822F9" w:rsidRDefault="320AD7D3" w:rsidP="320AD7D3">
      <w:pPr>
        <w:pStyle w:val="ListParagraph"/>
        <w:numPr>
          <w:ilvl w:val="0"/>
          <w:numId w:val="14"/>
        </w:numPr>
        <w:spacing w:after="0"/>
        <w:rPr>
          <w:rFonts w:ascii="Times New Roman" w:hAnsi="Times New Roman" w:cs="Times New Roman"/>
          <w:sz w:val="24"/>
          <w:szCs w:val="24"/>
          <w:u w:val="single"/>
        </w:rPr>
      </w:pPr>
      <w:r w:rsidRPr="320AD7D3">
        <w:rPr>
          <w:rFonts w:ascii="Times New Roman" w:hAnsi="Times New Roman" w:cs="Times New Roman"/>
          <w:sz w:val="24"/>
          <w:szCs w:val="24"/>
        </w:rPr>
        <w:t xml:space="preserve">Income supports – adequate investment in basic needs (food, clothing, shelter, heating assistance, etc.).  </w:t>
      </w:r>
    </w:p>
    <w:p w14:paraId="633F6B96" w14:textId="0AC650B0" w:rsidR="74E74CC0" w:rsidRDefault="320AD7D3" w:rsidP="320AD7D3">
      <w:pPr>
        <w:pStyle w:val="ListParagraph"/>
        <w:numPr>
          <w:ilvl w:val="0"/>
          <w:numId w:val="14"/>
        </w:numPr>
        <w:spacing w:after="0"/>
        <w:rPr>
          <w:sz w:val="24"/>
          <w:szCs w:val="24"/>
          <w:u w:val="single"/>
        </w:rPr>
      </w:pPr>
      <w:r w:rsidRPr="320AD7D3">
        <w:rPr>
          <w:rFonts w:ascii="Times New Roman" w:hAnsi="Times New Roman" w:cs="Times New Roman"/>
          <w:sz w:val="24"/>
          <w:szCs w:val="24"/>
        </w:rPr>
        <w:t xml:space="preserve">Education and training – focus on what the local job market needs and how to align resources to provide the training needed to fill those jobs (should be a part of the region’s economic development plan), as well as basic literacy. </w:t>
      </w:r>
    </w:p>
    <w:p w14:paraId="6A738135" w14:textId="1959805B" w:rsidR="74E74CC0" w:rsidRDefault="320AD7D3" w:rsidP="320AD7D3">
      <w:pPr>
        <w:pStyle w:val="ListParagraph"/>
        <w:numPr>
          <w:ilvl w:val="0"/>
          <w:numId w:val="14"/>
        </w:numPr>
        <w:spacing w:after="0"/>
        <w:rPr>
          <w:sz w:val="24"/>
          <w:szCs w:val="24"/>
          <w:u w:val="single"/>
        </w:rPr>
      </w:pPr>
      <w:r w:rsidRPr="320AD7D3">
        <w:rPr>
          <w:rFonts w:ascii="Times New Roman" w:hAnsi="Times New Roman" w:cs="Times New Roman"/>
          <w:sz w:val="24"/>
          <w:szCs w:val="24"/>
        </w:rPr>
        <w:t>2-1-1 as a means for information and referral to needed services identified through the community planning processes.</w:t>
      </w:r>
    </w:p>
    <w:p w14:paraId="40EBBD5B" w14:textId="2322F04A" w:rsidR="74E74CC0" w:rsidRDefault="320AD7D3" w:rsidP="320AD7D3">
      <w:pPr>
        <w:pStyle w:val="ListParagraph"/>
        <w:numPr>
          <w:ilvl w:val="0"/>
          <w:numId w:val="14"/>
        </w:numPr>
        <w:spacing w:after="0"/>
        <w:rPr>
          <w:sz w:val="24"/>
          <w:szCs w:val="24"/>
        </w:rPr>
      </w:pPr>
      <w:r w:rsidRPr="320AD7D3">
        <w:rPr>
          <w:rFonts w:ascii="Times New Roman" w:hAnsi="Times New Roman" w:cs="Times New Roman"/>
          <w:sz w:val="24"/>
          <w:szCs w:val="24"/>
        </w:rPr>
        <w:t xml:space="preserve">Explore option of joining efforts around benefits cliff. </w:t>
      </w:r>
    </w:p>
    <w:p w14:paraId="430A689F" w14:textId="416624AC" w:rsidR="74E74CC0" w:rsidRDefault="320AD7D3" w:rsidP="320AD7D3">
      <w:pPr>
        <w:pStyle w:val="ListParagraph"/>
        <w:numPr>
          <w:ilvl w:val="0"/>
          <w:numId w:val="14"/>
        </w:numPr>
        <w:spacing w:after="0"/>
        <w:rPr>
          <w:b/>
          <w:bCs/>
          <w:sz w:val="24"/>
          <w:szCs w:val="24"/>
        </w:rPr>
      </w:pPr>
      <w:r w:rsidRPr="320AD7D3">
        <w:rPr>
          <w:rFonts w:ascii="Times New Roman" w:eastAsia="Times New Roman" w:hAnsi="Times New Roman" w:cs="Times New Roman"/>
          <w:sz w:val="24"/>
          <w:szCs w:val="24"/>
        </w:rPr>
        <w:t xml:space="preserve">Support: Increase access to high-quality, affordable child care.  It is critical that working families have access to high quality, affordable childcare. While </w:t>
      </w:r>
      <w:proofErr w:type="gramStart"/>
      <w:r w:rsidRPr="320AD7D3">
        <w:rPr>
          <w:rFonts w:ascii="Times New Roman" w:eastAsia="Times New Roman" w:hAnsi="Times New Roman" w:cs="Times New Roman"/>
          <w:sz w:val="24"/>
          <w:szCs w:val="24"/>
        </w:rPr>
        <w:t>a number of</w:t>
      </w:r>
      <w:proofErr w:type="gramEnd"/>
      <w:r w:rsidRPr="320AD7D3">
        <w:rPr>
          <w:rFonts w:ascii="Times New Roman" w:eastAsia="Times New Roman" w:hAnsi="Times New Roman" w:cs="Times New Roman"/>
          <w:sz w:val="24"/>
          <w:szCs w:val="24"/>
        </w:rPr>
        <w:t xml:space="preserve"> ESPRI regions are looking at this in more detail, UWNYS continues to advocate for increasing access and affordability of childcare, as well as expansions of important tax credits previously mentioned.</w:t>
      </w:r>
    </w:p>
    <w:p w14:paraId="22B8EC3F" w14:textId="768BF8D4" w:rsidR="74E74CC0" w:rsidRDefault="320AD7D3" w:rsidP="320AD7D3">
      <w:pPr>
        <w:numPr>
          <w:ilvl w:val="0"/>
          <w:numId w:val="14"/>
        </w:numPr>
        <w:spacing w:after="0"/>
        <w:jc w:val="both"/>
        <w:rPr>
          <w:sz w:val="24"/>
          <w:szCs w:val="24"/>
        </w:rPr>
      </w:pPr>
      <w:r w:rsidRPr="320AD7D3">
        <w:rPr>
          <w:rFonts w:ascii="Times New Roman" w:eastAsia="Times New Roman" w:hAnsi="Times New Roman" w:cs="Times New Roman"/>
          <w:sz w:val="24"/>
          <w:szCs w:val="24"/>
        </w:rPr>
        <w:t xml:space="preserve">Support: Continue to provide educational supports for school aged youth. </w:t>
      </w:r>
      <w:r w:rsidRPr="320AD7D3">
        <w:rPr>
          <w:rFonts w:ascii="Times New Roman" w:eastAsia="Times New Roman" w:hAnsi="Times New Roman" w:cs="Times New Roman"/>
          <w:b/>
          <w:bCs/>
          <w:sz w:val="24"/>
          <w:szCs w:val="24"/>
        </w:rPr>
        <w:t xml:space="preserve"> </w:t>
      </w:r>
      <w:r w:rsidRPr="320AD7D3">
        <w:rPr>
          <w:rFonts w:ascii="Times New Roman" w:eastAsia="Times New Roman" w:hAnsi="Times New Roman" w:cs="Times New Roman"/>
          <w:sz w:val="24"/>
          <w:szCs w:val="24"/>
        </w:rPr>
        <w:t>Programs that support early learning, ensure grade-level reading and encourage college and career readiness are critical to breaking the generational cycle of poverty.</w:t>
      </w:r>
    </w:p>
    <w:p w14:paraId="677538AC" w14:textId="2315BE8D" w:rsidR="74E74CC0" w:rsidRDefault="74E74CC0" w:rsidP="320AD7D3">
      <w:pPr>
        <w:spacing w:after="0"/>
        <w:rPr>
          <w:rFonts w:ascii="Times New Roman" w:hAnsi="Times New Roman" w:cs="Times New Roman"/>
          <w:sz w:val="24"/>
          <w:szCs w:val="24"/>
        </w:rPr>
      </w:pPr>
    </w:p>
    <w:p w14:paraId="17C744D9" w14:textId="1E736245" w:rsidR="74E74CC0" w:rsidRDefault="320AD7D3" w:rsidP="320AD7D3">
      <w:pPr>
        <w:spacing w:after="0"/>
        <w:rPr>
          <w:rFonts w:ascii="Times New Roman" w:hAnsi="Times New Roman" w:cs="Times New Roman"/>
          <w:b/>
          <w:bCs/>
          <w:sz w:val="24"/>
          <w:szCs w:val="24"/>
          <w:u w:val="single"/>
        </w:rPr>
      </w:pPr>
      <w:r w:rsidRPr="320AD7D3">
        <w:rPr>
          <w:rFonts w:ascii="Times New Roman" w:hAnsi="Times New Roman" w:cs="Times New Roman"/>
          <w:b/>
          <w:bCs/>
          <w:sz w:val="24"/>
          <w:szCs w:val="24"/>
          <w:u w:val="single"/>
        </w:rPr>
        <w:t>ALICE: Asset Limited, Income Constrained, Employed</w:t>
      </w:r>
    </w:p>
    <w:p w14:paraId="6C2F8C51" w14:textId="14450C73" w:rsidR="74E74CC0" w:rsidRDefault="74E74CC0" w:rsidP="320AD7D3">
      <w:pPr>
        <w:spacing w:after="0"/>
        <w:rPr>
          <w:rFonts w:ascii="Times New Roman" w:hAnsi="Times New Roman" w:cs="Times New Roman"/>
          <w:sz w:val="24"/>
          <w:szCs w:val="24"/>
        </w:rPr>
      </w:pPr>
    </w:p>
    <w:p w14:paraId="199487A0" w14:textId="45031D09" w:rsidR="74E74CC0" w:rsidRDefault="320AD7D3" w:rsidP="320AD7D3">
      <w:pPr>
        <w:spacing w:after="0"/>
        <w:jc w:val="both"/>
      </w:pPr>
      <w:r w:rsidRPr="320AD7D3">
        <w:rPr>
          <w:rFonts w:ascii="Times New Roman" w:eastAsia="Times New Roman" w:hAnsi="Times New Roman" w:cs="Times New Roman"/>
          <w:sz w:val="24"/>
          <w:szCs w:val="24"/>
        </w:rPr>
        <w:lastRenderedPageBreak/>
        <w:t>In 2016, UWNYS commissioned a report that studied the number of employed individuals and families across the State who were above the poverty level, but still struggled to make ends meet - a population that the report refers to as “ALICE” (Asset, Limited, Income Constrained, Employed).  In 2018, UWNYS released an updated ALICE Report that shows New Yorkers still face financial hardship despite increases in employment and median income.  ALICE is the single mother who needs assistance with child care.  ALICE is the father who is facing eviction.  ALICE is the veteran who is facing legal problems as a result of active duty or having difficulty re-assimilating into the community.  An updated report is scheduled for release in 2020.</w:t>
      </w:r>
    </w:p>
    <w:p w14:paraId="4A0BDA7C" w14:textId="2E3D6137" w:rsidR="74E74CC0" w:rsidRDefault="320AD7D3" w:rsidP="320AD7D3">
      <w:pPr>
        <w:spacing w:after="0"/>
        <w:jc w:val="both"/>
      </w:pPr>
      <w:r w:rsidRPr="320AD7D3">
        <w:rPr>
          <w:rFonts w:ascii="Times New Roman" w:eastAsia="Times New Roman" w:hAnsi="Times New Roman" w:cs="Times New Roman"/>
          <w:sz w:val="24"/>
          <w:szCs w:val="24"/>
        </w:rPr>
        <w:t xml:space="preserve">The updated report shows that over the last few years, the economy has </w:t>
      </w:r>
      <w:proofErr w:type="gramStart"/>
      <w:r w:rsidRPr="320AD7D3">
        <w:rPr>
          <w:rFonts w:ascii="Times New Roman" w:eastAsia="Times New Roman" w:hAnsi="Times New Roman" w:cs="Times New Roman"/>
          <w:sz w:val="24"/>
          <w:szCs w:val="24"/>
        </w:rPr>
        <w:t>rebounded</w:t>
      </w:r>
      <w:proofErr w:type="gramEnd"/>
      <w:r w:rsidRPr="320AD7D3">
        <w:rPr>
          <w:rFonts w:ascii="Times New Roman" w:eastAsia="Times New Roman" w:hAnsi="Times New Roman" w:cs="Times New Roman"/>
          <w:sz w:val="24"/>
          <w:szCs w:val="24"/>
        </w:rPr>
        <w:t xml:space="preserve"> and the state has made investments to assist those living in poverty.  However, there is still </w:t>
      </w:r>
      <w:proofErr w:type="gramStart"/>
      <w:r w:rsidRPr="320AD7D3">
        <w:rPr>
          <w:rFonts w:ascii="Times New Roman" w:eastAsia="Times New Roman" w:hAnsi="Times New Roman" w:cs="Times New Roman"/>
          <w:sz w:val="24"/>
          <w:szCs w:val="24"/>
        </w:rPr>
        <w:t>a large number of</w:t>
      </w:r>
      <w:proofErr w:type="gramEnd"/>
      <w:r w:rsidRPr="320AD7D3">
        <w:rPr>
          <w:rFonts w:ascii="Times New Roman" w:eastAsia="Times New Roman" w:hAnsi="Times New Roman" w:cs="Times New Roman"/>
          <w:sz w:val="24"/>
          <w:szCs w:val="24"/>
        </w:rPr>
        <w:t xml:space="preserve"> New Yorkers, </w:t>
      </w:r>
      <w:r w:rsidRPr="320AD7D3">
        <w:rPr>
          <w:rFonts w:ascii="Times New Roman" w:eastAsia="Times New Roman" w:hAnsi="Times New Roman" w:cs="Times New Roman"/>
          <w:b/>
          <w:bCs/>
          <w:sz w:val="24"/>
          <w:szCs w:val="24"/>
        </w:rPr>
        <w:t>3.2 million, or 45% of the overall population</w:t>
      </w:r>
      <w:r w:rsidRPr="320AD7D3">
        <w:rPr>
          <w:rFonts w:ascii="Times New Roman" w:eastAsia="Times New Roman" w:hAnsi="Times New Roman" w:cs="Times New Roman"/>
          <w:sz w:val="24"/>
          <w:szCs w:val="24"/>
        </w:rPr>
        <w:t xml:space="preserve">, that cannot afford the basic needs and lack sufficient income and resources to pay for housing, food, child care, transportation, and health care.  The report continues to show that ALICE lives in every part of the state, from our biggest cities to our most rural areas.  </w:t>
      </w:r>
    </w:p>
    <w:p w14:paraId="3777763D" w14:textId="647237B3" w:rsidR="74E74CC0" w:rsidRDefault="320AD7D3" w:rsidP="320AD7D3">
      <w:pPr>
        <w:spacing w:after="0"/>
        <w:jc w:val="both"/>
      </w:pPr>
      <w:r w:rsidRPr="320AD7D3">
        <w:rPr>
          <w:rFonts w:ascii="Times New Roman" w:eastAsia="Times New Roman" w:hAnsi="Times New Roman" w:cs="Times New Roman"/>
          <w:sz w:val="24"/>
          <w:szCs w:val="24"/>
        </w:rPr>
        <w:t>Other key findings from the report include:</w:t>
      </w:r>
    </w:p>
    <w:p w14:paraId="16791094" w14:textId="76BEC211" w:rsidR="74E74CC0" w:rsidRDefault="320AD7D3" w:rsidP="320AD7D3">
      <w:pPr>
        <w:pStyle w:val="ListParagraph"/>
        <w:numPr>
          <w:ilvl w:val="0"/>
          <w:numId w:val="2"/>
        </w:numPr>
        <w:spacing w:after="0"/>
        <w:jc w:val="both"/>
        <w:rPr>
          <w:sz w:val="24"/>
          <w:szCs w:val="24"/>
        </w:rPr>
      </w:pPr>
      <w:r w:rsidRPr="320AD7D3">
        <w:rPr>
          <w:rFonts w:ascii="Times New Roman" w:eastAsia="Times New Roman" w:hAnsi="Times New Roman" w:cs="Times New Roman"/>
          <w:sz w:val="24"/>
          <w:szCs w:val="24"/>
        </w:rPr>
        <w:t xml:space="preserve">In order to meet the ALICE threshold for survival, a 4-person household (2 adults, 1 infant, 1 preschooler), needs an annual income of </w:t>
      </w:r>
      <w:r w:rsidRPr="320AD7D3">
        <w:rPr>
          <w:rFonts w:ascii="Times New Roman" w:eastAsia="Times New Roman" w:hAnsi="Times New Roman" w:cs="Times New Roman"/>
          <w:b/>
          <w:bCs/>
          <w:sz w:val="24"/>
          <w:szCs w:val="24"/>
        </w:rPr>
        <w:t>$68,808 or $34.40 per hour</w:t>
      </w:r>
      <w:r w:rsidRPr="320AD7D3">
        <w:rPr>
          <w:rFonts w:ascii="Times New Roman" w:eastAsia="Times New Roman" w:hAnsi="Times New Roman" w:cs="Times New Roman"/>
          <w:sz w:val="24"/>
          <w:szCs w:val="24"/>
        </w:rPr>
        <w:t xml:space="preserve">.  An individual needs an annual income of </w:t>
      </w:r>
      <w:r w:rsidRPr="320AD7D3">
        <w:rPr>
          <w:rFonts w:ascii="Times New Roman" w:eastAsia="Times New Roman" w:hAnsi="Times New Roman" w:cs="Times New Roman"/>
          <w:b/>
          <w:bCs/>
          <w:sz w:val="24"/>
          <w:szCs w:val="24"/>
        </w:rPr>
        <w:t>$23,148 or $11.57 per hour</w:t>
      </w:r>
      <w:r w:rsidRPr="320AD7D3">
        <w:rPr>
          <w:rFonts w:ascii="Times New Roman" w:eastAsia="Times New Roman" w:hAnsi="Times New Roman" w:cs="Times New Roman"/>
          <w:sz w:val="24"/>
          <w:szCs w:val="24"/>
        </w:rPr>
        <w:t>.  This is 7% higher for single and 9% higher for the 4-person household compared to the report in 2016.</w:t>
      </w:r>
    </w:p>
    <w:p w14:paraId="4CFFAE0A" w14:textId="4FB76F64" w:rsidR="74E74CC0" w:rsidRDefault="320AD7D3" w:rsidP="320AD7D3">
      <w:pPr>
        <w:pStyle w:val="ListParagraph"/>
        <w:numPr>
          <w:ilvl w:val="0"/>
          <w:numId w:val="2"/>
        </w:numPr>
        <w:spacing w:after="0"/>
        <w:jc w:val="both"/>
        <w:rPr>
          <w:sz w:val="24"/>
          <w:szCs w:val="24"/>
        </w:rPr>
      </w:pPr>
      <w:r w:rsidRPr="320AD7D3">
        <w:rPr>
          <w:rFonts w:ascii="Times New Roman" w:eastAsia="Times New Roman" w:hAnsi="Times New Roman" w:cs="Times New Roman"/>
          <w:sz w:val="24"/>
          <w:szCs w:val="24"/>
        </w:rPr>
        <w:t xml:space="preserve">51% of all jobs in NYS pay less than $20/hour or $40,000 annually for full-time work.  Even working multiple jobs often does not provide </w:t>
      </w:r>
      <w:proofErr w:type="gramStart"/>
      <w:r w:rsidRPr="320AD7D3">
        <w:rPr>
          <w:rFonts w:ascii="Times New Roman" w:eastAsia="Times New Roman" w:hAnsi="Times New Roman" w:cs="Times New Roman"/>
          <w:sz w:val="24"/>
          <w:szCs w:val="24"/>
        </w:rPr>
        <w:t>sufficient</w:t>
      </w:r>
      <w:proofErr w:type="gramEnd"/>
      <w:r w:rsidRPr="320AD7D3">
        <w:rPr>
          <w:rFonts w:ascii="Times New Roman" w:eastAsia="Times New Roman" w:hAnsi="Times New Roman" w:cs="Times New Roman"/>
          <w:sz w:val="24"/>
          <w:szCs w:val="24"/>
        </w:rPr>
        <w:t xml:space="preserve"> income to meet the ALICE threshold.</w:t>
      </w:r>
    </w:p>
    <w:p w14:paraId="2249B2EA" w14:textId="26727C6E" w:rsidR="74E74CC0" w:rsidRDefault="320AD7D3" w:rsidP="320AD7D3">
      <w:pPr>
        <w:pStyle w:val="ListParagraph"/>
        <w:numPr>
          <w:ilvl w:val="0"/>
          <w:numId w:val="2"/>
        </w:numPr>
        <w:spacing w:after="0"/>
        <w:jc w:val="both"/>
        <w:rPr>
          <w:sz w:val="24"/>
          <w:szCs w:val="24"/>
        </w:rPr>
      </w:pPr>
      <w:r w:rsidRPr="320AD7D3">
        <w:rPr>
          <w:rFonts w:ascii="Times New Roman" w:eastAsia="Times New Roman" w:hAnsi="Times New Roman" w:cs="Times New Roman"/>
          <w:sz w:val="24"/>
          <w:szCs w:val="24"/>
        </w:rPr>
        <w:t>All but one of New York’s 62 counties has 30% or more households earning less than what is needed to afford a basic household budget.</w:t>
      </w:r>
    </w:p>
    <w:p w14:paraId="55611CC5" w14:textId="5E389CBC" w:rsidR="74E74CC0" w:rsidRDefault="320AD7D3" w:rsidP="320AD7D3">
      <w:pPr>
        <w:pStyle w:val="ListParagraph"/>
        <w:spacing w:after="0"/>
        <w:ind w:left="0"/>
        <w:rPr>
          <w:rFonts w:ascii="Times New Roman" w:hAnsi="Times New Roman" w:cs="Times New Roman"/>
          <w:sz w:val="24"/>
          <w:szCs w:val="24"/>
        </w:rPr>
      </w:pPr>
      <w:r w:rsidRPr="320AD7D3">
        <w:rPr>
          <w:rFonts w:ascii="Times New Roman" w:hAnsi="Times New Roman" w:cs="Times New Roman"/>
          <w:sz w:val="24"/>
          <w:szCs w:val="24"/>
        </w:rPr>
        <w:t>Advocacy points: Focus on what needs to be in place and strengthened in order to improve the economic well-being of New York’s working residents</w:t>
      </w:r>
    </w:p>
    <w:p w14:paraId="20575BBE" w14:textId="2B83EAEA" w:rsidR="74E74CC0" w:rsidRDefault="320AD7D3" w:rsidP="320AD7D3">
      <w:pPr>
        <w:spacing w:after="0"/>
        <w:jc w:val="both"/>
      </w:pPr>
      <w:r w:rsidRPr="320AD7D3">
        <w:rPr>
          <w:rFonts w:ascii="Times New Roman" w:eastAsia="Times New Roman" w:hAnsi="Times New Roman" w:cs="Times New Roman"/>
          <w:b/>
          <w:bCs/>
          <w:sz w:val="24"/>
          <w:szCs w:val="24"/>
        </w:rPr>
        <w:t>State Level Request:  Expanding and strengthening New York’s working family tax credits</w:t>
      </w:r>
      <w:r w:rsidRPr="320AD7D3">
        <w:rPr>
          <w:rFonts w:ascii="Times New Roman" w:eastAsia="Times New Roman" w:hAnsi="Times New Roman" w:cs="Times New Roman"/>
          <w:sz w:val="24"/>
          <w:szCs w:val="24"/>
        </w:rPr>
        <w:t>. Specifically,</w:t>
      </w:r>
    </w:p>
    <w:p w14:paraId="3CA24BAC" w14:textId="3225F6EB" w:rsidR="74E74CC0" w:rsidRDefault="320AD7D3" w:rsidP="320AD7D3">
      <w:pPr>
        <w:pStyle w:val="ListParagraph"/>
        <w:numPr>
          <w:ilvl w:val="0"/>
          <w:numId w:val="1"/>
        </w:numPr>
        <w:spacing w:after="0"/>
        <w:jc w:val="both"/>
        <w:rPr>
          <w:sz w:val="24"/>
          <w:szCs w:val="24"/>
        </w:rPr>
      </w:pPr>
      <w:r w:rsidRPr="320AD7D3">
        <w:rPr>
          <w:rFonts w:ascii="Times New Roman" w:eastAsia="Times New Roman" w:hAnsi="Times New Roman" w:cs="Times New Roman"/>
          <w:sz w:val="24"/>
          <w:szCs w:val="24"/>
        </w:rPr>
        <w:t>Expand the state’s child tax credit (Empire State Child Credit) to cover children under age four and double the credit for young children.</w:t>
      </w:r>
    </w:p>
    <w:p w14:paraId="23DD0F29" w14:textId="5FA30CCF" w:rsidR="74E74CC0" w:rsidRDefault="320AD7D3" w:rsidP="320AD7D3">
      <w:pPr>
        <w:pStyle w:val="ListParagraph"/>
        <w:numPr>
          <w:ilvl w:val="0"/>
          <w:numId w:val="1"/>
        </w:numPr>
        <w:spacing w:after="0"/>
        <w:jc w:val="both"/>
        <w:rPr>
          <w:sz w:val="24"/>
          <w:szCs w:val="24"/>
        </w:rPr>
      </w:pPr>
      <w:r w:rsidRPr="320AD7D3">
        <w:rPr>
          <w:rFonts w:ascii="Times New Roman" w:eastAsia="Times New Roman" w:hAnsi="Times New Roman" w:cs="Times New Roman"/>
          <w:sz w:val="24"/>
          <w:szCs w:val="24"/>
        </w:rPr>
        <w:t>Expand and strengthen the state’s Earned Income Tax Credit by increasing the percentage of the federal credit paid to families from 30% to 40%; and expanding the credit for young adults without children (under age 25) who are currently ineligible for either the federal or state credit.</w:t>
      </w:r>
    </w:p>
    <w:p w14:paraId="0CA13941" w14:textId="3F4949CC" w:rsidR="74E74CC0" w:rsidRDefault="320AD7D3" w:rsidP="320AD7D3">
      <w:pPr>
        <w:pStyle w:val="ListParagraph"/>
        <w:numPr>
          <w:ilvl w:val="0"/>
          <w:numId w:val="1"/>
        </w:numPr>
        <w:spacing w:after="0"/>
        <w:jc w:val="both"/>
        <w:rPr>
          <w:sz w:val="24"/>
          <w:szCs w:val="24"/>
        </w:rPr>
      </w:pPr>
      <w:r w:rsidRPr="320AD7D3">
        <w:rPr>
          <w:rFonts w:ascii="Times New Roman" w:eastAsia="Times New Roman" w:hAnsi="Times New Roman" w:cs="Times New Roman"/>
          <w:sz w:val="24"/>
          <w:szCs w:val="24"/>
        </w:rPr>
        <w:t>Double the amount of child care expenses creditable under the state’s Child and Dependent Care Tax Credit (CDCTC) to better reflect the true cost of care and enable more middle-income families to afford high-quality child care.</w:t>
      </w:r>
    </w:p>
    <w:p w14:paraId="2D251619" w14:textId="1764725B" w:rsidR="74E74CC0" w:rsidRDefault="320AD7D3" w:rsidP="320AD7D3">
      <w:pPr>
        <w:spacing w:after="0"/>
        <w:jc w:val="both"/>
      </w:pPr>
      <w:r w:rsidRPr="320AD7D3">
        <w:rPr>
          <w:rFonts w:ascii="Times New Roman" w:eastAsia="Times New Roman" w:hAnsi="Times New Roman" w:cs="Times New Roman"/>
          <w:b/>
          <w:bCs/>
          <w:sz w:val="24"/>
          <w:szCs w:val="24"/>
        </w:rPr>
        <w:t>Federal Level Request: Expand and strengthen the federal EITC and Child Tax Credits</w:t>
      </w:r>
      <w:r w:rsidRPr="320AD7D3">
        <w:rPr>
          <w:rFonts w:ascii="Times New Roman" w:eastAsia="Times New Roman" w:hAnsi="Times New Roman" w:cs="Times New Roman"/>
          <w:sz w:val="24"/>
          <w:szCs w:val="24"/>
        </w:rPr>
        <w:t>.</w:t>
      </w:r>
    </w:p>
    <w:p w14:paraId="1E5F83E0" w14:textId="558AC14C" w:rsidR="74E74CC0" w:rsidRDefault="320AD7D3" w:rsidP="320AD7D3">
      <w:pPr>
        <w:pStyle w:val="ListParagraph"/>
        <w:numPr>
          <w:ilvl w:val="0"/>
          <w:numId w:val="1"/>
        </w:numPr>
        <w:spacing w:after="0"/>
        <w:jc w:val="both"/>
        <w:rPr>
          <w:sz w:val="24"/>
          <w:szCs w:val="24"/>
        </w:rPr>
      </w:pPr>
      <w:r w:rsidRPr="320AD7D3">
        <w:rPr>
          <w:rFonts w:ascii="Times New Roman" w:eastAsia="Times New Roman" w:hAnsi="Times New Roman" w:cs="Times New Roman"/>
          <w:sz w:val="24"/>
          <w:szCs w:val="24"/>
        </w:rPr>
        <w:t>Expand the federal child tax credit to cover children under age four.</w:t>
      </w:r>
    </w:p>
    <w:p w14:paraId="2B0A135A" w14:textId="634D9D8E" w:rsidR="74E74CC0" w:rsidRDefault="320AD7D3" w:rsidP="320AD7D3">
      <w:pPr>
        <w:pStyle w:val="ListParagraph"/>
        <w:numPr>
          <w:ilvl w:val="0"/>
          <w:numId w:val="1"/>
        </w:numPr>
        <w:spacing w:after="0"/>
        <w:jc w:val="both"/>
        <w:rPr>
          <w:sz w:val="24"/>
          <w:szCs w:val="24"/>
        </w:rPr>
      </w:pPr>
      <w:r w:rsidRPr="320AD7D3">
        <w:rPr>
          <w:rFonts w:ascii="Times New Roman" w:eastAsia="Times New Roman" w:hAnsi="Times New Roman" w:cs="Times New Roman"/>
          <w:sz w:val="24"/>
          <w:szCs w:val="24"/>
        </w:rPr>
        <w:lastRenderedPageBreak/>
        <w:t>Expand and strengthen the state’s Earned Income Tax Credit by expanding the credit for young adults without children (under age 25) who are currently ineligible for either the federal or state credit.</w:t>
      </w:r>
    </w:p>
    <w:p w14:paraId="29BCC1C4" w14:textId="52120FB3" w:rsidR="74E74CC0" w:rsidRDefault="320AD7D3" w:rsidP="320AD7D3">
      <w:pPr>
        <w:pStyle w:val="ListParagraph"/>
        <w:numPr>
          <w:ilvl w:val="0"/>
          <w:numId w:val="1"/>
        </w:numPr>
        <w:spacing w:after="0"/>
        <w:jc w:val="both"/>
        <w:rPr>
          <w:sz w:val="24"/>
          <w:szCs w:val="24"/>
        </w:rPr>
      </w:pPr>
      <w:r w:rsidRPr="320AD7D3">
        <w:rPr>
          <w:rFonts w:ascii="Times New Roman" w:eastAsia="Times New Roman" w:hAnsi="Times New Roman" w:cs="Times New Roman"/>
          <w:sz w:val="24"/>
          <w:szCs w:val="24"/>
        </w:rPr>
        <w:t>Expand VITA funding for communities (Volunteer Income Tax Assistance)</w:t>
      </w:r>
    </w:p>
    <w:p w14:paraId="07B28136" w14:textId="11A18FD2" w:rsidR="74E74CC0" w:rsidRDefault="320AD7D3" w:rsidP="320AD7D3">
      <w:pPr>
        <w:spacing w:after="0"/>
        <w:jc w:val="both"/>
        <w:rPr>
          <w:rFonts w:ascii="Times New Roman" w:hAnsi="Times New Roman" w:cs="Times New Roman"/>
          <w:sz w:val="24"/>
          <w:szCs w:val="24"/>
        </w:rPr>
      </w:pPr>
      <w:r w:rsidRPr="320AD7D3">
        <w:rPr>
          <w:rFonts w:ascii="Times New Roman" w:eastAsia="Times New Roman" w:hAnsi="Times New Roman" w:cs="Times New Roman"/>
          <w:sz w:val="24"/>
          <w:szCs w:val="24"/>
        </w:rPr>
        <w:t xml:space="preserve"> </w:t>
      </w:r>
      <w:r w:rsidRPr="320AD7D3">
        <w:rPr>
          <w:rFonts w:ascii="Times New Roman" w:eastAsia="Times New Roman" w:hAnsi="Times New Roman" w:cs="Times New Roman"/>
          <w:b/>
          <w:bCs/>
          <w:sz w:val="24"/>
          <w:szCs w:val="24"/>
        </w:rPr>
        <w:t xml:space="preserve">State Level Request:  Increase workforce development, including training programs and access to jobs with higher wages.  </w:t>
      </w:r>
      <w:r w:rsidRPr="320AD7D3">
        <w:rPr>
          <w:rFonts w:ascii="Times New Roman" w:eastAsia="Times New Roman" w:hAnsi="Times New Roman" w:cs="Times New Roman"/>
          <w:sz w:val="24"/>
          <w:szCs w:val="24"/>
        </w:rPr>
        <w:t>While NYS has taken a great first step by increasing the minimum wage, NYS can help those working to gain the skills needed to prepare them for higher paying jobs, in industries that are in demand across the state. By preparing individuals for these types of jobs, NYS can continue to move the needle and ensure that individuals are able to obtain the financial support they need to afford the basic cost of living while further enhancing our economy.</w:t>
      </w:r>
    </w:p>
    <w:p w14:paraId="78A24669" w14:textId="6C7038F8" w:rsidR="320AD7D3" w:rsidRDefault="320AD7D3" w:rsidP="320AD7D3">
      <w:pPr>
        <w:jc w:val="both"/>
        <w:rPr>
          <w:rFonts w:ascii="Times New Roman" w:eastAsia="Times New Roman" w:hAnsi="Times New Roman" w:cs="Times New Roman"/>
          <w:sz w:val="24"/>
          <w:szCs w:val="24"/>
        </w:rPr>
      </w:pPr>
    </w:p>
    <w:p w14:paraId="787C5700" w14:textId="77777777" w:rsidR="00731551" w:rsidRPr="003822F9" w:rsidRDefault="00731551" w:rsidP="009E31CB">
      <w:pPr>
        <w:pStyle w:val="ListParagraph"/>
        <w:numPr>
          <w:ilvl w:val="0"/>
          <w:numId w:val="11"/>
        </w:numPr>
        <w:spacing w:after="0"/>
        <w:rPr>
          <w:rFonts w:ascii="Times New Roman" w:hAnsi="Times New Roman" w:cs="Times New Roman"/>
          <w:b/>
          <w:sz w:val="24"/>
          <w:u w:val="single"/>
        </w:rPr>
      </w:pPr>
      <w:r w:rsidRPr="003822F9">
        <w:rPr>
          <w:rFonts w:ascii="Times New Roman" w:hAnsi="Times New Roman" w:cs="Times New Roman"/>
          <w:b/>
          <w:sz w:val="24"/>
          <w:u w:val="single"/>
        </w:rPr>
        <w:t>School readiness and success</w:t>
      </w:r>
    </w:p>
    <w:p w14:paraId="557F2C2B" w14:textId="77777777" w:rsidR="00D6773E" w:rsidRPr="00283748" w:rsidRDefault="00D6773E" w:rsidP="00D6773E">
      <w:pPr>
        <w:spacing w:after="0"/>
        <w:rPr>
          <w:rFonts w:ascii="Times New Roman" w:hAnsi="Times New Roman" w:cs="Times New Roman"/>
          <w:sz w:val="24"/>
        </w:rPr>
      </w:pPr>
      <w:r w:rsidRPr="00D6773E">
        <w:rPr>
          <w:rFonts w:ascii="Times New Roman" w:hAnsi="Times New Roman" w:cs="Times New Roman"/>
          <w:sz w:val="24"/>
        </w:rPr>
        <w:t xml:space="preserve">Given the very strong early childhood advocacy community, UWNYS </w:t>
      </w:r>
      <w:r>
        <w:rPr>
          <w:rFonts w:ascii="Times New Roman" w:hAnsi="Times New Roman" w:cs="Times New Roman"/>
          <w:sz w:val="24"/>
        </w:rPr>
        <w:t>sh</w:t>
      </w:r>
      <w:r w:rsidRPr="00D6773E">
        <w:rPr>
          <w:rFonts w:ascii="Times New Roman" w:hAnsi="Times New Roman" w:cs="Times New Roman"/>
          <w:sz w:val="24"/>
        </w:rPr>
        <w:t>ould be a participant in those efforts and a leader in marshalling local UW participation in advocacy.</w:t>
      </w:r>
      <w:r w:rsidR="002620C3">
        <w:rPr>
          <w:rFonts w:ascii="Times New Roman" w:hAnsi="Times New Roman" w:cs="Times New Roman"/>
          <w:sz w:val="24"/>
        </w:rPr>
        <w:t xml:space="preserve">  </w:t>
      </w:r>
      <w:r w:rsidR="002620C3" w:rsidRPr="00283748">
        <w:rPr>
          <w:rFonts w:ascii="Times New Roman" w:hAnsi="Times New Roman" w:cs="Times New Roman"/>
          <w:sz w:val="24"/>
        </w:rPr>
        <w:t xml:space="preserve">United Way and 2-1-1 can also be leaders in marshalling community support and providing needed information and referral.  </w:t>
      </w:r>
    </w:p>
    <w:p w14:paraId="34CE0A41" w14:textId="77777777" w:rsidR="002620C3" w:rsidRPr="00283748" w:rsidRDefault="00887C22" w:rsidP="00887C22">
      <w:pPr>
        <w:tabs>
          <w:tab w:val="left" w:pos="7890"/>
        </w:tabs>
        <w:spacing w:after="0"/>
        <w:rPr>
          <w:rFonts w:ascii="Times New Roman" w:hAnsi="Times New Roman" w:cs="Times New Roman"/>
          <w:sz w:val="24"/>
        </w:rPr>
      </w:pPr>
      <w:r w:rsidRPr="00283748">
        <w:rPr>
          <w:rFonts w:ascii="Times New Roman" w:hAnsi="Times New Roman" w:cs="Times New Roman"/>
          <w:sz w:val="24"/>
        </w:rPr>
        <w:tab/>
      </w:r>
    </w:p>
    <w:p w14:paraId="69C5730F" w14:textId="77777777" w:rsidR="002620C3" w:rsidRPr="00283748" w:rsidRDefault="320AD7D3" w:rsidP="320AD7D3">
      <w:pPr>
        <w:spacing w:after="0"/>
        <w:rPr>
          <w:rFonts w:ascii="Times New Roman" w:hAnsi="Times New Roman" w:cs="Times New Roman"/>
          <w:sz w:val="24"/>
          <w:szCs w:val="24"/>
        </w:rPr>
      </w:pPr>
      <w:r w:rsidRPr="001B5A91">
        <w:rPr>
          <w:rFonts w:ascii="Times New Roman" w:hAnsi="Times New Roman" w:cs="Times New Roman"/>
          <w:sz w:val="24"/>
          <w:szCs w:val="24"/>
        </w:rPr>
        <w:t>A significant part of school readiness relates to maternal and child health and wellness.  United Way and 2-1-1 can be partners and assets to existing efforts like the First 1000 Days, DSRIP and Value-Based Payments.  Their strengths in community and stakeholder engagement, partnerships across a broad array of interests and ability to connect individuals and providers to needed services are United Way and 2-1-1 assets that should be maximized.</w:t>
      </w:r>
      <w:r w:rsidRPr="320AD7D3">
        <w:rPr>
          <w:rFonts w:ascii="Times New Roman" w:hAnsi="Times New Roman" w:cs="Times New Roman"/>
          <w:sz w:val="24"/>
          <w:szCs w:val="24"/>
        </w:rPr>
        <w:t xml:space="preserve">  </w:t>
      </w:r>
    </w:p>
    <w:p w14:paraId="62EBF3C5" w14:textId="77777777" w:rsidR="002620C3" w:rsidRPr="00887C22" w:rsidRDefault="002620C3" w:rsidP="00D6773E">
      <w:pPr>
        <w:spacing w:after="0"/>
        <w:rPr>
          <w:rFonts w:ascii="Times New Roman" w:hAnsi="Times New Roman" w:cs="Times New Roman"/>
          <w:sz w:val="24"/>
          <w:highlight w:val="yellow"/>
        </w:rPr>
      </w:pPr>
    </w:p>
    <w:p w14:paraId="277A9A3B" w14:textId="77777777" w:rsidR="002620C3" w:rsidRPr="00D6773E" w:rsidRDefault="002620C3" w:rsidP="00D6773E">
      <w:pPr>
        <w:spacing w:after="0"/>
        <w:rPr>
          <w:rFonts w:ascii="Times New Roman" w:hAnsi="Times New Roman" w:cs="Times New Roman"/>
          <w:sz w:val="24"/>
        </w:rPr>
      </w:pPr>
      <w:r w:rsidRPr="00283748">
        <w:rPr>
          <w:rFonts w:ascii="Times New Roman" w:hAnsi="Times New Roman" w:cs="Times New Roman"/>
          <w:sz w:val="24"/>
        </w:rPr>
        <w:t>The ALICE report particularly notes the implications of poverty on school success, finding that children of color and low-income children preformed lower on test scores throughout k – 12, and had lower high school graduation rates.</w:t>
      </w:r>
    </w:p>
    <w:p w14:paraId="6D98A12B" w14:textId="77777777" w:rsidR="00C261BC" w:rsidRDefault="00C261BC" w:rsidP="00731551">
      <w:pPr>
        <w:spacing w:after="0"/>
        <w:rPr>
          <w:rFonts w:ascii="Times New Roman" w:hAnsi="Times New Roman" w:cs="Times New Roman"/>
          <w:sz w:val="24"/>
        </w:rPr>
      </w:pPr>
    </w:p>
    <w:p w14:paraId="7EF72AB2" w14:textId="77777777" w:rsidR="00D6773E" w:rsidRPr="00835214" w:rsidRDefault="003822F9" w:rsidP="00731551">
      <w:pPr>
        <w:spacing w:after="0"/>
        <w:rPr>
          <w:rFonts w:ascii="Times New Roman" w:hAnsi="Times New Roman" w:cs="Times New Roman"/>
          <w:sz w:val="24"/>
        </w:rPr>
      </w:pPr>
      <w:r>
        <w:rPr>
          <w:rFonts w:ascii="Times New Roman" w:hAnsi="Times New Roman" w:cs="Times New Roman"/>
          <w:sz w:val="24"/>
        </w:rPr>
        <w:t>Advocacy points; k</w:t>
      </w:r>
      <w:r w:rsidR="00835214">
        <w:rPr>
          <w:rFonts w:ascii="Times New Roman" w:hAnsi="Times New Roman" w:cs="Times New Roman"/>
          <w:sz w:val="24"/>
        </w:rPr>
        <w:t>ey elements of UWNYS’ school readiness/success priority will include:</w:t>
      </w:r>
    </w:p>
    <w:p w14:paraId="53ADD99F" w14:textId="77777777" w:rsidR="00C261BC" w:rsidRDefault="00D6773E" w:rsidP="00C37E9A">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Healthy birth outcomes and</w:t>
      </w:r>
      <w:r w:rsidR="007F4D13">
        <w:rPr>
          <w:rFonts w:ascii="Times New Roman" w:hAnsi="Times New Roman" w:cs="Times New Roman"/>
          <w:sz w:val="24"/>
        </w:rPr>
        <w:t xml:space="preserve"> </w:t>
      </w:r>
      <w:r w:rsidR="00D026B3" w:rsidRPr="007F4D13">
        <w:rPr>
          <w:rFonts w:ascii="Times New Roman" w:hAnsi="Times New Roman" w:cs="Times New Roman"/>
          <w:sz w:val="24"/>
        </w:rPr>
        <w:t>healthy</w:t>
      </w:r>
      <w:r>
        <w:rPr>
          <w:rFonts w:ascii="Times New Roman" w:hAnsi="Times New Roman" w:cs="Times New Roman"/>
          <w:sz w:val="24"/>
        </w:rPr>
        <w:t xml:space="preserve"> start in life – promote adequate investment in prenatal care and outreach, access to well child care, on time immunization, early screening for health conditions and developmental delays, adequate nutrition</w:t>
      </w:r>
    </w:p>
    <w:p w14:paraId="055E51AA" w14:textId="77777777" w:rsidR="002620C3" w:rsidRDefault="00C37E9A" w:rsidP="00C37E9A">
      <w:pPr>
        <w:pStyle w:val="ListParagraph"/>
        <w:numPr>
          <w:ilvl w:val="0"/>
          <w:numId w:val="15"/>
        </w:numPr>
        <w:spacing w:after="0"/>
        <w:rPr>
          <w:rFonts w:ascii="Times New Roman" w:hAnsi="Times New Roman" w:cs="Times New Roman"/>
          <w:sz w:val="24"/>
        </w:rPr>
      </w:pPr>
      <w:r w:rsidRPr="002620C3">
        <w:rPr>
          <w:rFonts w:ascii="Times New Roman" w:hAnsi="Times New Roman" w:cs="Times New Roman"/>
          <w:sz w:val="24"/>
        </w:rPr>
        <w:t xml:space="preserve">Increase investment in home visiting that will promote positive parenting and reduce child maltreatment </w:t>
      </w:r>
    </w:p>
    <w:p w14:paraId="58C30650" w14:textId="77777777" w:rsidR="00D6773E" w:rsidRPr="002620C3" w:rsidRDefault="00D6773E" w:rsidP="00C37E9A">
      <w:pPr>
        <w:pStyle w:val="ListParagraph"/>
        <w:numPr>
          <w:ilvl w:val="0"/>
          <w:numId w:val="15"/>
        </w:numPr>
        <w:spacing w:after="0"/>
        <w:rPr>
          <w:rFonts w:ascii="Times New Roman" w:hAnsi="Times New Roman" w:cs="Times New Roman"/>
          <w:sz w:val="24"/>
        </w:rPr>
      </w:pPr>
      <w:r w:rsidRPr="002620C3">
        <w:rPr>
          <w:rFonts w:ascii="Times New Roman" w:hAnsi="Times New Roman" w:cs="Times New Roman"/>
          <w:sz w:val="24"/>
        </w:rPr>
        <w:t>Investments that will insure that children’s home and early learning environments are lead-free</w:t>
      </w:r>
    </w:p>
    <w:p w14:paraId="68E767A3" w14:textId="77777777" w:rsidR="00D6773E" w:rsidRDefault="00D6773E" w:rsidP="00C37E9A">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Improved pre-k access – may need a mix of investment and regulatory changes</w:t>
      </w:r>
    </w:p>
    <w:p w14:paraId="308555F1" w14:textId="77777777" w:rsidR="00D6773E" w:rsidRDefault="00D6773E" w:rsidP="00C37E9A">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lastRenderedPageBreak/>
        <w:t xml:space="preserve">Investments in adequate and affordable childcare – </w:t>
      </w:r>
      <w:proofErr w:type="gramStart"/>
      <w:r>
        <w:rPr>
          <w:rFonts w:ascii="Times New Roman" w:hAnsi="Times New Roman" w:cs="Times New Roman"/>
          <w:sz w:val="24"/>
        </w:rPr>
        <w:t>particular emphasis</w:t>
      </w:r>
      <w:proofErr w:type="gramEnd"/>
      <w:r>
        <w:rPr>
          <w:rFonts w:ascii="Times New Roman" w:hAnsi="Times New Roman" w:cs="Times New Roman"/>
          <w:sz w:val="24"/>
        </w:rPr>
        <w:t xml:space="preserve"> on children most at risk of entering school behind and parents for whom the child care subsidy may be the difference between maintaining a job or becoming reliant on public assistance</w:t>
      </w:r>
    </w:p>
    <w:p w14:paraId="510A7524" w14:textId="77777777" w:rsidR="00D6773E" w:rsidRDefault="00835214" w:rsidP="00C37E9A">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M</w:t>
      </w:r>
      <w:r w:rsidR="00D6773E">
        <w:rPr>
          <w:rFonts w:ascii="Times New Roman" w:hAnsi="Times New Roman" w:cs="Times New Roman"/>
          <w:sz w:val="24"/>
        </w:rPr>
        <w:t>aintain</w:t>
      </w:r>
      <w:r>
        <w:rPr>
          <w:rFonts w:ascii="Times New Roman" w:hAnsi="Times New Roman" w:cs="Times New Roman"/>
          <w:sz w:val="24"/>
        </w:rPr>
        <w:t>ing</w:t>
      </w:r>
      <w:r w:rsidR="00D6773E">
        <w:rPr>
          <w:rFonts w:ascii="Times New Roman" w:hAnsi="Times New Roman" w:cs="Times New Roman"/>
          <w:sz w:val="24"/>
        </w:rPr>
        <w:t xml:space="preserve"> the gains realized through strategic early childhood investments by investing in those services that support school success</w:t>
      </w:r>
    </w:p>
    <w:p w14:paraId="348ACDDE" w14:textId="77777777" w:rsidR="00B2267A" w:rsidRPr="00283748" w:rsidRDefault="320AD7D3" w:rsidP="320AD7D3">
      <w:pPr>
        <w:pStyle w:val="ListParagraph"/>
        <w:numPr>
          <w:ilvl w:val="0"/>
          <w:numId w:val="15"/>
        </w:numPr>
        <w:spacing w:after="0"/>
        <w:rPr>
          <w:rFonts w:ascii="Times New Roman" w:hAnsi="Times New Roman" w:cs="Times New Roman"/>
          <w:sz w:val="24"/>
          <w:szCs w:val="24"/>
        </w:rPr>
      </w:pPr>
      <w:r w:rsidRPr="320AD7D3">
        <w:rPr>
          <w:rFonts w:ascii="Times New Roman" w:hAnsi="Times New Roman" w:cs="Times New Roman"/>
          <w:sz w:val="24"/>
          <w:szCs w:val="24"/>
        </w:rPr>
        <w:t xml:space="preserve">Support for 2-1-1 as an access point to the services noted above.  It should also be noted that 2-1-1 is a partner to Help Me Grow in </w:t>
      </w:r>
      <w:r w:rsidRPr="001B5A91">
        <w:rPr>
          <w:rFonts w:ascii="Times New Roman" w:hAnsi="Times New Roman" w:cs="Times New Roman"/>
          <w:sz w:val="24"/>
          <w:szCs w:val="24"/>
        </w:rPr>
        <w:t>three communities</w:t>
      </w:r>
      <w:r w:rsidRPr="320AD7D3">
        <w:rPr>
          <w:rFonts w:ascii="Times New Roman" w:hAnsi="Times New Roman" w:cs="Times New Roman"/>
          <w:sz w:val="24"/>
          <w:szCs w:val="24"/>
        </w:rPr>
        <w:t xml:space="preserve"> in NYS.</w:t>
      </w:r>
    </w:p>
    <w:p w14:paraId="2946DB82" w14:textId="77777777" w:rsidR="00C261BC" w:rsidRDefault="00C261BC" w:rsidP="00C261BC">
      <w:pPr>
        <w:spacing w:after="0"/>
        <w:rPr>
          <w:rFonts w:ascii="Times New Roman" w:hAnsi="Times New Roman" w:cs="Times New Roman"/>
          <w:sz w:val="24"/>
        </w:rPr>
      </w:pPr>
    </w:p>
    <w:p w14:paraId="1CDC12FA" w14:textId="77777777" w:rsidR="00C261BC" w:rsidRPr="00C37E9A" w:rsidRDefault="00C261BC" w:rsidP="009E31CB">
      <w:pPr>
        <w:pStyle w:val="ListParagraph"/>
        <w:numPr>
          <w:ilvl w:val="0"/>
          <w:numId w:val="11"/>
        </w:numPr>
        <w:spacing w:after="0"/>
        <w:rPr>
          <w:rFonts w:ascii="Times New Roman" w:hAnsi="Times New Roman" w:cs="Times New Roman"/>
          <w:b/>
          <w:sz w:val="24"/>
        </w:rPr>
      </w:pPr>
      <w:r w:rsidRPr="00C37E9A">
        <w:rPr>
          <w:rFonts w:ascii="Times New Roman" w:hAnsi="Times New Roman" w:cs="Times New Roman"/>
          <w:b/>
          <w:sz w:val="24"/>
          <w:u w:val="single"/>
        </w:rPr>
        <w:t>Charitable Sector Issues</w:t>
      </w:r>
    </w:p>
    <w:p w14:paraId="55382B67" w14:textId="68C33E26" w:rsidR="00C261BC" w:rsidRDefault="320AD7D3" w:rsidP="320AD7D3">
      <w:pPr>
        <w:spacing w:after="0"/>
        <w:rPr>
          <w:rFonts w:ascii="Times New Roman" w:hAnsi="Times New Roman" w:cs="Times New Roman"/>
          <w:sz w:val="24"/>
          <w:szCs w:val="24"/>
        </w:rPr>
      </w:pPr>
      <w:r w:rsidRPr="320AD7D3">
        <w:rPr>
          <w:rFonts w:ascii="Times New Roman" w:hAnsi="Times New Roman" w:cs="Times New Roman"/>
          <w:sz w:val="24"/>
          <w:szCs w:val="24"/>
        </w:rPr>
        <w:t xml:space="preserve">United Way of NYS will continue to monitor and comment on budget and policy proposals that impact (positively or negatively) the non-profit sector.  Information, positions and action alerts will be developed and distributed as needed.  </w:t>
      </w:r>
    </w:p>
    <w:p w14:paraId="25341F95" w14:textId="77777777" w:rsidR="001B5A91" w:rsidRDefault="001B5A91" w:rsidP="320AD7D3">
      <w:pPr>
        <w:spacing w:after="0"/>
        <w:rPr>
          <w:rFonts w:ascii="Times New Roman" w:hAnsi="Times New Roman" w:cs="Times New Roman"/>
          <w:sz w:val="24"/>
          <w:szCs w:val="24"/>
        </w:rPr>
      </w:pPr>
    </w:p>
    <w:p w14:paraId="2C0944CA" w14:textId="42EC9430" w:rsidR="006D0505" w:rsidRPr="006D0505" w:rsidRDefault="320AD7D3" w:rsidP="001B5A91">
      <w:pPr>
        <w:spacing w:after="0"/>
        <w:rPr>
          <w:rFonts w:ascii="Times New Roman" w:hAnsi="Times New Roman" w:cs="Times New Roman"/>
          <w:sz w:val="24"/>
          <w:szCs w:val="24"/>
        </w:rPr>
      </w:pPr>
      <w:r w:rsidRPr="320AD7D3">
        <w:rPr>
          <w:rFonts w:ascii="Times New Roman" w:hAnsi="Times New Roman" w:cs="Times New Roman"/>
          <w:sz w:val="24"/>
          <w:szCs w:val="24"/>
        </w:rPr>
        <w:t xml:space="preserve">In partnership with </w:t>
      </w:r>
      <w:r w:rsidR="001B5A91">
        <w:rPr>
          <w:rFonts w:ascii="Times New Roman" w:hAnsi="Times New Roman" w:cs="Times New Roman"/>
          <w:sz w:val="24"/>
          <w:szCs w:val="24"/>
        </w:rPr>
        <w:t xml:space="preserve">the </w:t>
      </w:r>
      <w:r w:rsidRPr="320AD7D3">
        <w:rPr>
          <w:rFonts w:ascii="Times New Roman" w:hAnsi="Times New Roman" w:cs="Times New Roman"/>
          <w:sz w:val="24"/>
          <w:szCs w:val="24"/>
        </w:rPr>
        <w:t>United Way Worldwide Public Policy Team, United Way of New York State will lead efforts in New York State and federally on a Universal Charitable Deduction.</w:t>
      </w:r>
    </w:p>
    <w:sectPr w:rsidR="006D0505" w:rsidRPr="006D05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4D0C" w14:textId="77777777" w:rsidR="001F0AD1" w:rsidRDefault="001F0AD1" w:rsidP="0071253D">
      <w:pPr>
        <w:spacing w:after="0" w:line="240" w:lineRule="auto"/>
      </w:pPr>
      <w:r>
        <w:separator/>
      </w:r>
    </w:p>
  </w:endnote>
  <w:endnote w:type="continuationSeparator" w:id="0">
    <w:p w14:paraId="3971D7E4" w14:textId="77777777" w:rsidR="001F0AD1" w:rsidRDefault="001F0AD1" w:rsidP="007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347E83" w:rsidRDefault="0034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87212"/>
      <w:docPartObj>
        <w:docPartGallery w:val="Page Numbers (Bottom of Page)"/>
        <w:docPartUnique/>
      </w:docPartObj>
    </w:sdtPr>
    <w:sdtEndPr>
      <w:rPr>
        <w:noProof/>
      </w:rPr>
    </w:sdtEndPr>
    <w:sdtContent>
      <w:p w14:paraId="0FD4FD25" w14:textId="77777777" w:rsidR="002620C3" w:rsidRDefault="002620C3">
        <w:pPr>
          <w:pStyle w:val="Footer"/>
          <w:jc w:val="center"/>
        </w:pPr>
        <w:r>
          <w:fldChar w:fldCharType="begin"/>
        </w:r>
        <w:r>
          <w:instrText xml:space="preserve"> PAGE   \* MERGEFORMAT </w:instrText>
        </w:r>
        <w:r>
          <w:fldChar w:fldCharType="separate"/>
        </w:r>
        <w:r w:rsidR="006D0505">
          <w:rPr>
            <w:noProof/>
          </w:rPr>
          <w:t>6</w:t>
        </w:r>
        <w:r>
          <w:rPr>
            <w:noProof/>
          </w:rPr>
          <w:fldChar w:fldCharType="end"/>
        </w:r>
      </w:p>
    </w:sdtContent>
  </w:sdt>
  <w:p w14:paraId="5043CB0F" w14:textId="77777777" w:rsidR="002620C3" w:rsidRDefault="00262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347E83" w:rsidRDefault="0034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D182" w14:textId="77777777" w:rsidR="001F0AD1" w:rsidRDefault="001F0AD1" w:rsidP="0071253D">
      <w:pPr>
        <w:spacing w:after="0" w:line="240" w:lineRule="auto"/>
      </w:pPr>
      <w:r>
        <w:separator/>
      </w:r>
    </w:p>
  </w:footnote>
  <w:footnote w:type="continuationSeparator" w:id="0">
    <w:p w14:paraId="318B52E5" w14:textId="77777777" w:rsidR="001F0AD1" w:rsidRDefault="001F0AD1" w:rsidP="0071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347E83" w:rsidRDefault="00347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347E83" w:rsidRDefault="00347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347E83" w:rsidRDefault="00347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EBB"/>
    <w:multiLevelType w:val="hybridMultilevel"/>
    <w:tmpl w:val="1962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225"/>
    <w:multiLevelType w:val="hybridMultilevel"/>
    <w:tmpl w:val="3C8C1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000A"/>
    <w:multiLevelType w:val="hybridMultilevel"/>
    <w:tmpl w:val="E8DE26EE"/>
    <w:lvl w:ilvl="0" w:tplc="EEF2677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D7081"/>
    <w:multiLevelType w:val="hybridMultilevel"/>
    <w:tmpl w:val="86A8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0A876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7A15"/>
    <w:multiLevelType w:val="hybridMultilevel"/>
    <w:tmpl w:val="9A3A2F10"/>
    <w:lvl w:ilvl="0" w:tplc="FFFFFFFF">
      <w:start w:val="1"/>
      <w:numFmt w:val="bullet"/>
      <w:lvlText w:val=""/>
      <w:lvlJc w:val="left"/>
      <w:pPr>
        <w:ind w:left="720" w:hanging="360"/>
      </w:pPr>
      <w:rPr>
        <w:rFonts w:ascii="Symbol" w:hAnsi="Symbo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A2A53"/>
    <w:multiLevelType w:val="hybridMultilevel"/>
    <w:tmpl w:val="E494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C0DC6"/>
    <w:multiLevelType w:val="hybridMultilevel"/>
    <w:tmpl w:val="53208B48"/>
    <w:lvl w:ilvl="0" w:tplc="CFDA7D50">
      <w:start w:val="1"/>
      <w:numFmt w:val="bullet"/>
      <w:lvlText w:val=""/>
      <w:lvlJc w:val="left"/>
      <w:pPr>
        <w:ind w:left="720" w:hanging="360"/>
      </w:pPr>
      <w:rPr>
        <w:rFonts w:ascii="Symbol" w:hAnsi="Symbol" w:hint="default"/>
      </w:rPr>
    </w:lvl>
    <w:lvl w:ilvl="1" w:tplc="C31CBE70">
      <w:start w:val="1"/>
      <w:numFmt w:val="bullet"/>
      <w:lvlText w:val="o"/>
      <w:lvlJc w:val="left"/>
      <w:pPr>
        <w:ind w:left="1440" w:hanging="360"/>
      </w:pPr>
      <w:rPr>
        <w:rFonts w:ascii="Courier New" w:hAnsi="Courier New" w:hint="default"/>
      </w:rPr>
    </w:lvl>
    <w:lvl w:ilvl="2" w:tplc="549C7DD8">
      <w:start w:val="1"/>
      <w:numFmt w:val="bullet"/>
      <w:lvlText w:val=""/>
      <w:lvlJc w:val="left"/>
      <w:pPr>
        <w:ind w:left="2160" w:hanging="360"/>
      </w:pPr>
      <w:rPr>
        <w:rFonts w:ascii="Wingdings" w:hAnsi="Wingdings" w:hint="default"/>
      </w:rPr>
    </w:lvl>
    <w:lvl w:ilvl="3" w:tplc="4B707870">
      <w:start w:val="1"/>
      <w:numFmt w:val="bullet"/>
      <w:lvlText w:val=""/>
      <w:lvlJc w:val="left"/>
      <w:pPr>
        <w:ind w:left="2880" w:hanging="360"/>
      </w:pPr>
      <w:rPr>
        <w:rFonts w:ascii="Symbol" w:hAnsi="Symbol" w:hint="default"/>
      </w:rPr>
    </w:lvl>
    <w:lvl w:ilvl="4" w:tplc="F0C8D504">
      <w:start w:val="1"/>
      <w:numFmt w:val="bullet"/>
      <w:lvlText w:val="o"/>
      <w:lvlJc w:val="left"/>
      <w:pPr>
        <w:ind w:left="3600" w:hanging="360"/>
      </w:pPr>
      <w:rPr>
        <w:rFonts w:ascii="Courier New" w:hAnsi="Courier New" w:hint="default"/>
      </w:rPr>
    </w:lvl>
    <w:lvl w:ilvl="5" w:tplc="70CEED56">
      <w:start w:val="1"/>
      <w:numFmt w:val="bullet"/>
      <w:lvlText w:val=""/>
      <w:lvlJc w:val="left"/>
      <w:pPr>
        <w:ind w:left="4320" w:hanging="360"/>
      </w:pPr>
      <w:rPr>
        <w:rFonts w:ascii="Wingdings" w:hAnsi="Wingdings" w:hint="default"/>
      </w:rPr>
    </w:lvl>
    <w:lvl w:ilvl="6" w:tplc="9B5468AA">
      <w:start w:val="1"/>
      <w:numFmt w:val="bullet"/>
      <w:lvlText w:val=""/>
      <w:lvlJc w:val="left"/>
      <w:pPr>
        <w:ind w:left="5040" w:hanging="360"/>
      </w:pPr>
      <w:rPr>
        <w:rFonts w:ascii="Symbol" w:hAnsi="Symbol" w:hint="default"/>
      </w:rPr>
    </w:lvl>
    <w:lvl w:ilvl="7" w:tplc="C11ABAE8">
      <w:start w:val="1"/>
      <w:numFmt w:val="bullet"/>
      <w:lvlText w:val="o"/>
      <w:lvlJc w:val="left"/>
      <w:pPr>
        <w:ind w:left="5760" w:hanging="360"/>
      </w:pPr>
      <w:rPr>
        <w:rFonts w:ascii="Courier New" w:hAnsi="Courier New" w:hint="default"/>
      </w:rPr>
    </w:lvl>
    <w:lvl w:ilvl="8" w:tplc="07127EC4">
      <w:start w:val="1"/>
      <w:numFmt w:val="bullet"/>
      <w:lvlText w:val=""/>
      <w:lvlJc w:val="left"/>
      <w:pPr>
        <w:ind w:left="6480" w:hanging="360"/>
      </w:pPr>
      <w:rPr>
        <w:rFonts w:ascii="Wingdings" w:hAnsi="Wingdings" w:hint="default"/>
      </w:rPr>
    </w:lvl>
  </w:abstractNum>
  <w:abstractNum w:abstractNumId="7" w15:restartNumberingAfterBreak="0">
    <w:nsid w:val="35401A5F"/>
    <w:multiLevelType w:val="hybridMultilevel"/>
    <w:tmpl w:val="3580D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90A8762">
      <w:start w:val="2"/>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1F00A8"/>
    <w:multiLevelType w:val="hybridMultilevel"/>
    <w:tmpl w:val="A5ECD57C"/>
    <w:lvl w:ilvl="0" w:tplc="A0125004">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1B4E46"/>
    <w:multiLevelType w:val="hybridMultilevel"/>
    <w:tmpl w:val="180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B1EBB"/>
    <w:multiLevelType w:val="hybridMultilevel"/>
    <w:tmpl w:val="42F4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5604"/>
    <w:multiLevelType w:val="hybridMultilevel"/>
    <w:tmpl w:val="214E16C6"/>
    <w:lvl w:ilvl="0" w:tplc="0E2628E2">
      <w:start w:val="1"/>
      <w:numFmt w:val="bullet"/>
      <w:lvlText w:val=""/>
      <w:lvlJc w:val="left"/>
      <w:pPr>
        <w:ind w:left="720" w:hanging="360"/>
      </w:pPr>
      <w:rPr>
        <w:rFonts w:ascii="Symbol" w:hAnsi="Symbol" w:hint="default"/>
      </w:rPr>
    </w:lvl>
    <w:lvl w:ilvl="1" w:tplc="AD22636C">
      <w:start w:val="1"/>
      <w:numFmt w:val="bullet"/>
      <w:lvlText w:val="o"/>
      <w:lvlJc w:val="left"/>
      <w:pPr>
        <w:ind w:left="1440" w:hanging="360"/>
      </w:pPr>
      <w:rPr>
        <w:rFonts w:ascii="Courier New" w:hAnsi="Courier New" w:hint="default"/>
      </w:rPr>
    </w:lvl>
    <w:lvl w:ilvl="2" w:tplc="A1E8DBB4">
      <w:start w:val="1"/>
      <w:numFmt w:val="bullet"/>
      <w:lvlText w:val=""/>
      <w:lvlJc w:val="left"/>
      <w:pPr>
        <w:ind w:left="2160" w:hanging="360"/>
      </w:pPr>
      <w:rPr>
        <w:rFonts w:ascii="Wingdings" w:hAnsi="Wingdings" w:hint="default"/>
      </w:rPr>
    </w:lvl>
    <w:lvl w:ilvl="3" w:tplc="0AA81026">
      <w:start w:val="1"/>
      <w:numFmt w:val="bullet"/>
      <w:lvlText w:val=""/>
      <w:lvlJc w:val="left"/>
      <w:pPr>
        <w:ind w:left="2880" w:hanging="360"/>
      </w:pPr>
      <w:rPr>
        <w:rFonts w:ascii="Symbol" w:hAnsi="Symbol" w:hint="default"/>
      </w:rPr>
    </w:lvl>
    <w:lvl w:ilvl="4" w:tplc="058405CC">
      <w:start w:val="1"/>
      <w:numFmt w:val="bullet"/>
      <w:lvlText w:val="o"/>
      <w:lvlJc w:val="left"/>
      <w:pPr>
        <w:ind w:left="3600" w:hanging="360"/>
      </w:pPr>
      <w:rPr>
        <w:rFonts w:ascii="Courier New" w:hAnsi="Courier New" w:hint="default"/>
      </w:rPr>
    </w:lvl>
    <w:lvl w:ilvl="5" w:tplc="BD2E10E0">
      <w:start w:val="1"/>
      <w:numFmt w:val="bullet"/>
      <w:lvlText w:val=""/>
      <w:lvlJc w:val="left"/>
      <w:pPr>
        <w:ind w:left="4320" w:hanging="360"/>
      </w:pPr>
      <w:rPr>
        <w:rFonts w:ascii="Wingdings" w:hAnsi="Wingdings" w:hint="default"/>
      </w:rPr>
    </w:lvl>
    <w:lvl w:ilvl="6" w:tplc="B338FEBE">
      <w:start w:val="1"/>
      <w:numFmt w:val="bullet"/>
      <w:lvlText w:val=""/>
      <w:lvlJc w:val="left"/>
      <w:pPr>
        <w:ind w:left="5040" w:hanging="360"/>
      </w:pPr>
      <w:rPr>
        <w:rFonts w:ascii="Symbol" w:hAnsi="Symbol" w:hint="default"/>
      </w:rPr>
    </w:lvl>
    <w:lvl w:ilvl="7" w:tplc="423207DE">
      <w:start w:val="1"/>
      <w:numFmt w:val="bullet"/>
      <w:lvlText w:val="o"/>
      <w:lvlJc w:val="left"/>
      <w:pPr>
        <w:ind w:left="5760" w:hanging="360"/>
      </w:pPr>
      <w:rPr>
        <w:rFonts w:ascii="Courier New" w:hAnsi="Courier New" w:hint="default"/>
      </w:rPr>
    </w:lvl>
    <w:lvl w:ilvl="8" w:tplc="4B149036">
      <w:start w:val="1"/>
      <w:numFmt w:val="bullet"/>
      <w:lvlText w:val=""/>
      <w:lvlJc w:val="left"/>
      <w:pPr>
        <w:ind w:left="6480" w:hanging="360"/>
      </w:pPr>
      <w:rPr>
        <w:rFonts w:ascii="Wingdings" w:hAnsi="Wingdings" w:hint="default"/>
      </w:rPr>
    </w:lvl>
  </w:abstractNum>
  <w:abstractNum w:abstractNumId="12" w15:restartNumberingAfterBreak="0">
    <w:nsid w:val="64CF1EFA"/>
    <w:multiLevelType w:val="hybridMultilevel"/>
    <w:tmpl w:val="FBA6BC92"/>
    <w:lvl w:ilvl="0" w:tplc="BD54D850">
      <w:start w:val="1"/>
      <w:numFmt w:val="low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D82BF4"/>
    <w:multiLevelType w:val="hybridMultilevel"/>
    <w:tmpl w:val="E92278D0"/>
    <w:lvl w:ilvl="0" w:tplc="FFFFFFFF">
      <w:start w:val="1"/>
      <w:numFmt w:val="bullet"/>
      <w:lvlText w:val=""/>
      <w:lvlJc w:val="left"/>
      <w:pPr>
        <w:ind w:left="720" w:hanging="360"/>
      </w:pPr>
      <w:rPr>
        <w:rFonts w:ascii="Symbol" w:hAnsi="Symbol" w:hint="default"/>
      </w:rPr>
    </w:lvl>
    <w:lvl w:ilvl="1" w:tplc="7382A560">
      <w:start w:val="1"/>
      <w:numFmt w:val="bullet"/>
      <w:lvlText w:val="o"/>
      <w:lvlJc w:val="left"/>
      <w:pPr>
        <w:ind w:left="1440" w:hanging="360"/>
      </w:pPr>
      <w:rPr>
        <w:rFonts w:ascii="Courier New" w:hAnsi="Courier New" w:hint="default"/>
      </w:rPr>
    </w:lvl>
    <w:lvl w:ilvl="2" w:tplc="E8DE4A16">
      <w:start w:val="1"/>
      <w:numFmt w:val="bullet"/>
      <w:lvlText w:val=""/>
      <w:lvlJc w:val="left"/>
      <w:pPr>
        <w:ind w:left="2160" w:hanging="360"/>
      </w:pPr>
      <w:rPr>
        <w:rFonts w:ascii="Wingdings" w:hAnsi="Wingdings" w:hint="default"/>
      </w:rPr>
    </w:lvl>
    <w:lvl w:ilvl="3" w:tplc="BAB8C442">
      <w:start w:val="1"/>
      <w:numFmt w:val="bullet"/>
      <w:lvlText w:val=""/>
      <w:lvlJc w:val="left"/>
      <w:pPr>
        <w:ind w:left="2880" w:hanging="360"/>
      </w:pPr>
      <w:rPr>
        <w:rFonts w:ascii="Symbol" w:hAnsi="Symbol" w:hint="default"/>
      </w:rPr>
    </w:lvl>
    <w:lvl w:ilvl="4" w:tplc="BA1098AE">
      <w:start w:val="1"/>
      <w:numFmt w:val="bullet"/>
      <w:lvlText w:val="o"/>
      <w:lvlJc w:val="left"/>
      <w:pPr>
        <w:ind w:left="3600" w:hanging="360"/>
      </w:pPr>
      <w:rPr>
        <w:rFonts w:ascii="Courier New" w:hAnsi="Courier New" w:hint="default"/>
      </w:rPr>
    </w:lvl>
    <w:lvl w:ilvl="5" w:tplc="E17E3E24">
      <w:start w:val="1"/>
      <w:numFmt w:val="bullet"/>
      <w:lvlText w:val=""/>
      <w:lvlJc w:val="left"/>
      <w:pPr>
        <w:ind w:left="4320" w:hanging="360"/>
      </w:pPr>
      <w:rPr>
        <w:rFonts w:ascii="Wingdings" w:hAnsi="Wingdings" w:hint="default"/>
      </w:rPr>
    </w:lvl>
    <w:lvl w:ilvl="6" w:tplc="6F28CE78">
      <w:start w:val="1"/>
      <w:numFmt w:val="bullet"/>
      <w:lvlText w:val=""/>
      <w:lvlJc w:val="left"/>
      <w:pPr>
        <w:ind w:left="5040" w:hanging="360"/>
      </w:pPr>
      <w:rPr>
        <w:rFonts w:ascii="Symbol" w:hAnsi="Symbol" w:hint="default"/>
      </w:rPr>
    </w:lvl>
    <w:lvl w:ilvl="7" w:tplc="49ACDA1E">
      <w:start w:val="1"/>
      <w:numFmt w:val="bullet"/>
      <w:lvlText w:val="o"/>
      <w:lvlJc w:val="left"/>
      <w:pPr>
        <w:ind w:left="5760" w:hanging="360"/>
      </w:pPr>
      <w:rPr>
        <w:rFonts w:ascii="Courier New" w:hAnsi="Courier New" w:hint="default"/>
      </w:rPr>
    </w:lvl>
    <w:lvl w:ilvl="8" w:tplc="4DDC5C58">
      <w:start w:val="1"/>
      <w:numFmt w:val="bullet"/>
      <w:lvlText w:val=""/>
      <w:lvlJc w:val="left"/>
      <w:pPr>
        <w:ind w:left="6480" w:hanging="360"/>
      </w:pPr>
      <w:rPr>
        <w:rFonts w:ascii="Wingdings" w:hAnsi="Wingdings" w:hint="default"/>
      </w:rPr>
    </w:lvl>
  </w:abstractNum>
  <w:abstractNum w:abstractNumId="14" w15:restartNumberingAfterBreak="0">
    <w:nsid w:val="70937E82"/>
    <w:multiLevelType w:val="hybridMultilevel"/>
    <w:tmpl w:val="3A36B990"/>
    <w:lvl w:ilvl="0" w:tplc="83A6F5AA">
      <w:start w:val="1"/>
      <w:numFmt w:val="bullet"/>
      <w:lvlText w:val=""/>
      <w:lvlJc w:val="left"/>
      <w:pPr>
        <w:ind w:left="720" w:hanging="360"/>
      </w:pPr>
      <w:rPr>
        <w:rFonts w:ascii="Symbol" w:hAnsi="Symbol" w:hint="default"/>
      </w:rPr>
    </w:lvl>
    <w:lvl w:ilvl="1" w:tplc="30A23A44">
      <w:start w:val="1"/>
      <w:numFmt w:val="bullet"/>
      <w:lvlText w:val=""/>
      <w:lvlJc w:val="left"/>
      <w:pPr>
        <w:ind w:left="1440" w:hanging="360"/>
      </w:pPr>
      <w:rPr>
        <w:rFonts w:ascii="Symbol" w:hAnsi="Symbol" w:hint="default"/>
      </w:rPr>
    </w:lvl>
    <w:lvl w:ilvl="2" w:tplc="B9B02760">
      <w:start w:val="1"/>
      <w:numFmt w:val="bullet"/>
      <w:lvlText w:val=""/>
      <w:lvlJc w:val="left"/>
      <w:pPr>
        <w:ind w:left="2160" w:hanging="360"/>
      </w:pPr>
      <w:rPr>
        <w:rFonts w:ascii="Wingdings" w:hAnsi="Wingdings" w:hint="default"/>
      </w:rPr>
    </w:lvl>
    <w:lvl w:ilvl="3" w:tplc="D8A81D08">
      <w:start w:val="1"/>
      <w:numFmt w:val="bullet"/>
      <w:lvlText w:val=""/>
      <w:lvlJc w:val="left"/>
      <w:pPr>
        <w:ind w:left="2880" w:hanging="360"/>
      </w:pPr>
      <w:rPr>
        <w:rFonts w:ascii="Symbol" w:hAnsi="Symbol" w:hint="default"/>
      </w:rPr>
    </w:lvl>
    <w:lvl w:ilvl="4" w:tplc="08B430F8">
      <w:start w:val="1"/>
      <w:numFmt w:val="bullet"/>
      <w:lvlText w:val="o"/>
      <w:lvlJc w:val="left"/>
      <w:pPr>
        <w:ind w:left="3600" w:hanging="360"/>
      </w:pPr>
      <w:rPr>
        <w:rFonts w:ascii="Courier New" w:hAnsi="Courier New" w:hint="default"/>
      </w:rPr>
    </w:lvl>
    <w:lvl w:ilvl="5" w:tplc="F85699FC">
      <w:start w:val="1"/>
      <w:numFmt w:val="bullet"/>
      <w:lvlText w:val=""/>
      <w:lvlJc w:val="left"/>
      <w:pPr>
        <w:ind w:left="4320" w:hanging="360"/>
      </w:pPr>
      <w:rPr>
        <w:rFonts w:ascii="Wingdings" w:hAnsi="Wingdings" w:hint="default"/>
      </w:rPr>
    </w:lvl>
    <w:lvl w:ilvl="6" w:tplc="F5D20A5A">
      <w:start w:val="1"/>
      <w:numFmt w:val="bullet"/>
      <w:lvlText w:val=""/>
      <w:lvlJc w:val="left"/>
      <w:pPr>
        <w:ind w:left="5040" w:hanging="360"/>
      </w:pPr>
      <w:rPr>
        <w:rFonts w:ascii="Symbol" w:hAnsi="Symbol" w:hint="default"/>
      </w:rPr>
    </w:lvl>
    <w:lvl w:ilvl="7" w:tplc="5A5ACC5A">
      <w:start w:val="1"/>
      <w:numFmt w:val="bullet"/>
      <w:lvlText w:val="o"/>
      <w:lvlJc w:val="left"/>
      <w:pPr>
        <w:ind w:left="5760" w:hanging="360"/>
      </w:pPr>
      <w:rPr>
        <w:rFonts w:ascii="Courier New" w:hAnsi="Courier New" w:hint="default"/>
      </w:rPr>
    </w:lvl>
    <w:lvl w:ilvl="8" w:tplc="49967B3A">
      <w:start w:val="1"/>
      <w:numFmt w:val="bullet"/>
      <w:lvlText w:val=""/>
      <w:lvlJc w:val="left"/>
      <w:pPr>
        <w:ind w:left="6480" w:hanging="360"/>
      </w:pPr>
      <w:rPr>
        <w:rFonts w:ascii="Wingdings" w:hAnsi="Wingdings" w:hint="default"/>
      </w:rPr>
    </w:lvl>
  </w:abstractNum>
  <w:abstractNum w:abstractNumId="15" w15:restartNumberingAfterBreak="0">
    <w:nsid w:val="74233A9B"/>
    <w:multiLevelType w:val="hybridMultilevel"/>
    <w:tmpl w:val="0ABAD5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13"/>
  </w:num>
  <w:num w:numId="5">
    <w:abstractNumId w:val="9"/>
  </w:num>
  <w:num w:numId="6">
    <w:abstractNumId w:val="7"/>
  </w:num>
  <w:num w:numId="7">
    <w:abstractNumId w:val="0"/>
  </w:num>
  <w:num w:numId="8">
    <w:abstractNumId w:val="1"/>
  </w:num>
  <w:num w:numId="9">
    <w:abstractNumId w:val="10"/>
  </w:num>
  <w:num w:numId="10">
    <w:abstractNumId w:val="2"/>
  </w:num>
  <w:num w:numId="11">
    <w:abstractNumId w:val="8"/>
  </w:num>
  <w:num w:numId="12">
    <w:abstractNumId w:val="12"/>
  </w:num>
  <w:num w:numId="13">
    <w:abstractNumId w:val="3"/>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BC"/>
    <w:rsid w:val="00014512"/>
    <w:rsid w:val="000318A7"/>
    <w:rsid w:val="0004574C"/>
    <w:rsid w:val="000B1BB1"/>
    <w:rsid w:val="00172F11"/>
    <w:rsid w:val="00182D31"/>
    <w:rsid w:val="001B47F1"/>
    <w:rsid w:val="001B5A91"/>
    <w:rsid w:val="001F0AD1"/>
    <w:rsid w:val="002249EB"/>
    <w:rsid w:val="002620C3"/>
    <w:rsid w:val="00283748"/>
    <w:rsid w:val="00283C2D"/>
    <w:rsid w:val="00286D66"/>
    <w:rsid w:val="002A3219"/>
    <w:rsid w:val="002A3403"/>
    <w:rsid w:val="00314870"/>
    <w:rsid w:val="00347E83"/>
    <w:rsid w:val="003822F9"/>
    <w:rsid w:val="00393358"/>
    <w:rsid w:val="00437370"/>
    <w:rsid w:val="0045615E"/>
    <w:rsid w:val="00491689"/>
    <w:rsid w:val="005413D0"/>
    <w:rsid w:val="0054337A"/>
    <w:rsid w:val="00557D24"/>
    <w:rsid w:val="005641BC"/>
    <w:rsid w:val="005C2B68"/>
    <w:rsid w:val="005D657E"/>
    <w:rsid w:val="0060231B"/>
    <w:rsid w:val="00623711"/>
    <w:rsid w:val="00654591"/>
    <w:rsid w:val="00697F49"/>
    <w:rsid w:val="006D0505"/>
    <w:rsid w:val="006F6037"/>
    <w:rsid w:val="0071253D"/>
    <w:rsid w:val="00731551"/>
    <w:rsid w:val="00742D3C"/>
    <w:rsid w:val="007729C1"/>
    <w:rsid w:val="00781945"/>
    <w:rsid w:val="0078781E"/>
    <w:rsid w:val="007F4D13"/>
    <w:rsid w:val="00825248"/>
    <w:rsid w:val="00835214"/>
    <w:rsid w:val="0085316E"/>
    <w:rsid w:val="00885DC2"/>
    <w:rsid w:val="00887C22"/>
    <w:rsid w:val="00891C50"/>
    <w:rsid w:val="008C34D5"/>
    <w:rsid w:val="008E29B2"/>
    <w:rsid w:val="008F025B"/>
    <w:rsid w:val="00917141"/>
    <w:rsid w:val="00947C5D"/>
    <w:rsid w:val="009771C7"/>
    <w:rsid w:val="00986D91"/>
    <w:rsid w:val="00990012"/>
    <w:rsid w:val="00994B47"/>
    <w:rsid w:val="009A2C8A"/>
    <w:rsid w:val="009E31CB"/>
    <w:rsid w:val="00A222C1"/>
    <w:rsid w:val="00A55E6A"/>
    <w:rsid w:val="00A65CE5"/>
    <w:rsid w:val="00A80EEF"/>
    <w:rsid w:val="00B03C00"/>
    <w:rsid w:val="00B174A3"/>
    <w:rsid w:val="00B2267A"/>
    <w:rsid w:val="00B302AA"/>
    <w:rsid w:val="00BB0C88"/>
    <w:rsid w:val="00BD7ACD"/>
    <w:rsid w:val="00C24FCA"/>
    <w:rsid w:val="00C261BC"/>
    <w:rsid w:val="00C37E9A"/>
    <w:rsid w:val="00C40661"/>
    <w:rsid w:val="00CE1F1D"/>
    <w:rsid w:val="00CF65B8"/>
    <w:rsid w:val="00D026B3"/>
    <w:rsid w:val="00D16AC5"/>
    <w:rsid w:val="00D43618"/>
    <w:rsid w:val="00D66B3E"/>
    <w:rsid w:val="00D6773E"/>
    <w:rsid w:val="00D7098E"/>
    <w:rsid w:val="00D75868"/>
    <w:rsid w:val="00D8523C"/>
    <w:rsid w:val="00EB7871"/>
    <w:rsid w:val="00F565A1"/>
    <w:rsid w:val="00F91744"/>
    <w:rsid w:val="00FA4F82"/>
    <w:rsid w:val="00FC4186"/>
    <w:rsid w:val="00FC7DC9"/>
    <w:rsid w:val="320AD7D3"/>
    <w:rsid w:val="5E2A0DFF"/>
    <w:rsid w:val="6356A574"/>
    <w:rsid w:val="74E7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F194B"/>
  <w15:docId w15:val="{D7901DEE-5E4F-424B-B65A-42070906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3C"/>
    <w:pPr>
      <w:ind w:left="720"/>
      <w:contextualSpacing/>
    </w:pPr>
  </w:style>
  <w:style w:type="paragraph" w:styleId="BalloonText">
    <w:name w:val="Balloon Text"/>
    <w:basedOn w:val="Normal"/>
    <w:link w:val="BalloonTextChar"/>
    <w:uiPriority w:val="99"/>
    <w:semiHidden/>
    <w:unhideWhenUsed/>
    <w:rsid w:val="00314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70"/>
    <w:rPr>
      <w:rFonts w:ascii="Tahoma" w:hAnsi="Tahoma" w:cs="Tahoma"/>
      <w:sz w:val="16"/>
      <w:szCs w:val="16"/>
    </w:rPr>
  </w:style>
  <w:style w:type="paragraph" w:styleId="Header">
    <w:name w:val="header"/>
    <w:basedOn w:val="Normal"/>
    <w:link w:val="HeaderChar"/>
    <w:uiPriority w:val="99"/>
    <w:unhideWhenUsed/>
    <w:rsid w:val="0071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53D"/>
  </w:style>
  <w:style w:type="paragraph" w:styleId="Footer">
    <w:name w:val="footer"/>
    <w:basedOn w:val="Normal"/>
    <w:link w:val="FooterChar"/>
    <w:uiPriority w:val="99"/>
    <w:unhideWhenUsed/>
    <w:rsid w:val="0071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53D"/>
  </w:style>
  <w:style w:type="character" w:styleId="Emphasis">
    <w:name w:val="Emphasis"/>
    <w:basedOn w:val="DefaultParagraphFont"/>
    <w:uiPriority w:val="20"/>
    <w:qFormat/>
    <w:rsid w:val="007F4D13"/>
    <w:rPr>
      <w:i/>
      <w:iCs/>
    </w:rPr>
  </w:style>
  <w:style w:type="table" w:styleId="TableGrid">
    <w:name w:val="Table Grid"/>
    <w:basedOn w:val="TableNormal"/>
    <w:uiPriority w:val="59"/>
    <w:rsid w:val="0089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7ACD"/>
    <w:rPr>
      <w:sz w:val="16"/>
      <w:szCs w:val="16"/>
    </w:rPr>
  </w:style>
  <w:style w:type="paragraph" w:styleId="CommentText">
    <w:name w:val="annotation text"/>
    <w:basedOn w:val="Normal"/>
    <w:link w:val="CommentTextChar"/>
    <w:uiPriority w:val="99"/>
    <w:semiHidden/>
    <w:unhideWhenUsed/>
    <w:rsid w:val="00BD7ACD"/>
    <w:pPr>
      <w:spacing w:line="240" w:lineRule="auto"/>
    </w:pPr>
    <w:rPr>
      <w:sz w:val="20"/>
      <w:szCs w:val="20"/>
    </w:rPr>
  </w:style>
  <w:style w:type="character" w:customStyle="1" w:styleId="CommentTextChar">
    <w:name w:val="Comment Text Char"/>
    <w:basedOn w:val="DefaultParagraphFont"/>
    <w:link w:val="CommentText"/>
    <w:uiPriority w:val="99"/>
    <w:semiHidden/>
    <w:rsid w:val="00BD7ACD"/>
    <w:rPr>
      <w:sz w:val="20"/>
      <w:szCs w:val="20"/>
    </w:rPr>
  </w:style>
  <w:style w:type="paragraph" w:styleId="CommentSubject">
    <w:name w:val="annotation subject"/>
    <w:basedOn w:val="CommentText"/>
    <w:next w:val="CommentText"/>
    <w:link w:val="CommentSubjectChar"/>
    <w:uiPriority w:val="99"/>
    <w:semiHidden/>
    <w:unhideWhenUsed/>
    <w:rsid w:val="00BD7ACD"/>
    <w:rPr>
      <w:b/>
      <w:bCs/>
    </w:rPr>
  </w:style>
  <w:style w:type="character" w:customStyle="1" w:styleId="CommentSubjectChar">
    <w:name w:val="Comment Subject Char"/>
    <w:basedOn w:val="CommentTextChar"/>
    <w:link w:val="CommentSubject"/>
    <w:uiPriority w:val="99"/>
    <w:semiHidden/>
    <w:rsid w:val="00BD7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dcb5e-b139-4506-87f5-f0c5d02f6e9d">
      <UserInfo>
        <DisplayName>Mary Shaheen</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28025A3B8384B9B7110A33079ECA8" ma:contentTypeVersion="13" ma:contentTypeDescription="Create a new document." ma:contentTypeScope="" ma:versionID="68129dad5ad3560ecd6cb39ca8b05da7">
  <xsd:schema xmlns:xsd="http://www.w3.org/2001/XMLSchema" xmlns:xs="http://www.w3.org/2001/XMLSchema" xmlns:p="http://schemas.microsoft.com/office/2006/metadata/properties" xmlns:ns3="394ae3b7-d5ae-4f58-a122-797c0ea6fba3" xmlns:ns4="ac2dcb5e-b139-4506-87f5-f0c5d02f6e9d" targetNamespace="http://schemas.microsoft.com/office/2006/metadata/properties" ma:root="true" ma:fieldsID="18d3dd56631e87f4006a64fc3a1f1495" ns3:_="" ns4:_="">
    <xsd:import namespace="394ae3b7-d5ae-4f58-a122-797c0ea6fba3"/>
    <xsd:import namespace="ac2dcb5e-b139-4506-87f5-f0c5d02f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ae3b7-d5ae-4f58-a122-797c0ea6f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dcb5e-b139-4506-87f5-f0c5d02f6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3FB9-DD5D-470A-8CEE-C0F696C46EAB}">
  <ds:schemaRefs>
    <ds:schemaRef ds:uri="http://schemas.openxmlformats.org/package/2006/metadata/core-properties"/>
    <ds:schemaRef ds:uri="http://schemas.microsoft.com/office/2006/documentManagement/types"/>
    <ds:schemaRef ds:uri="http://schemas.microsoft.com/office/infopath/2007/PartnerControls"/>
    <ds:schemaRef ds:uri="ac2dcb5e-b139-4506-87f5-f0c5d02f6e9d"/>
    <ds:schemaRef ds:uri="http://purl.org/dc/elements/1.1/"/>
    <ds:schemaRef ds:uri="http://schemas.microsoft.com/office/2006/metadata/properties"/>
    <ds:schemaRef ds:uri="http://purl.org/dc/terms/"/>
    <ds:schemaRef ds:uri="394ae3b7-d5ae-4f58-a122-797c0ea6fba3"/>
    <ds:schemaRef ds:uri="http://www.w3.org/XML/1998/namespace"/>
    <ds:schemaRef ds:uri="http://purl.org/dc/dcmitype/"/>
  </ds:schemaRefs>
</ds:datastoreItem>
</file>

<file path=customXml/itemProps2.xml><?xml version="1.0" encoding="utf-8"?>
<ds:datastoreItem xmlns:ds="http://schemas.openxmlformats.org/officeDocument/2006/customXml" ds:itemID="{5AC73148-1EAB-45B9-92C8-A0CA4D0D717F}">
  <ds:schemaRefs>
    <ds:schemaRef ds:uri="http://schemas.microsoft.com/sharepoint/v3/contenttype/forms"/>
  </ds:schemaRefs>
</ds:datastoreItem>
</file>

<file path=customXml/itemProps3.xml><?xml version="1.0" encoding="utf-8"?>
<ds:datastoreItem xmlns:ds="http://schemas.openxmlformats.org/officeDocument/2006/customXml" ds:itemID="{8E5EF8E2-7F4C-4C6A-9240-4423E6831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ae3b7-d5ae-4f58-a122-797c0ea6fba3"/>
    <ds:schemaRef ds:uri="ac2dcb5e-b139-4506-87f5-f0c5d02f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C59B0-9D69-463C-8C03-C351BF9D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Shaheen</dc:creator>
  <cp:lastModifiedBy>Brenda Episcopo</cp:lastModifiedBy>
  <cp:revision>2</cp:revision>
  <cp:lastPrinted>2016-11-23T18:24:00Z</cp:lastPrinted>
  <dcterms:created xsi:type="dcterms:W3CDTF">2019-11-19T18:25:00Z</dcterms:created>
  <dcterms:modified xsi:type="dcterms:W3CDTF">2019-11-19T18:25:00Z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0x01010042028025A3B8384B9B7110A33079ECA8</vt:lpwstr>
  </property>
</Properties>
</file>